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65485-20f_ultratrex.htm"/>
      <w:bookmarkStart w:id="1" w:name="ksea026548520f_ultratre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 Financial Report Pursuant to Rule 15d-2 of the Securities Exchange Act of 1934, as amended, </w:t>
        <w:br/>
        <w:t>reporting Financial Statements for the fiscal year ended June 30,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333-290101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 Orchard Road</w:t>
        <w:br/>
        <w:t>Unit 05-02, Midpoint Orchard</w:t>
        <w:br/>
        <w:t>Singapore 238852</w:t>
        <w:br/>
        <w:t>Tel: +65 6235 3388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Wong Kok Seng, Executive Director and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6235 3388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 Orchard Road</w:t>
        <w:br/>
        <w:t>Unit 05-02, Midpoint Orchard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825" w:type="dxa"/>
        <w:jc w:val="left"/>
        <w:tblInd w:w="0" w:type="dxa"/>
        <w:tblLayout w:type="fixed"/>
        <w:tblCellMar>
          <w:top w:w="0" w:type="dxa"/>
          <w:left w:w="0" w:type="dxa"/>
          <w:bottom w:w="28" w:type="dxa"/>
          <w:right w:w="0" w:type="dxa"/>
        </w:tblCellMar>
      </w:tblPr>
      <w:tblGrid>
        <w:gridCol w:w="1565"/>
        <w:gridCol w:w="60"/>
        <w:gridCol w:w="1340"/>
        <w:gridCol w:w="60"/>
        <w:gridCol w:w="3800"/>
      </w:tblGrid>
      <w:tr>
        <w:trPr/>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80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par value $0.0001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outstanding shares of each of the issuer’s classes of capital or common stock as of June 30, 2025 was: 15,000,000 Class A Ordinary Shares and 5,000,000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or a non-accelerated filer. See definition of “accelerated filer and large accelerated filer”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245"/>
        <w:gridCol w:w="905"/>
        <w:gridCol w:w="230"/>
        <w:gridCol w:w="4910"/>
        <w:gridCol w:w="230"/>
        <w:gridCol w:w="485"/>
      </w:tblGrid>
      <w:tr>
        <w:trPr/>
        <w:tc>
          <w:tcPr>
            <w:tcW w:w="245"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w:t>
            </w:r>
          </w:p>
        </w:tc>
        <w:tc>
          <w:tcPr>
            <w:tcW w:w="23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Financial Reporting Standards as issued by the</w:t>
              <w:br/>
              <w:t>International Accounting Standards Board</w:t>
            </w:r>
          </w:p>
        </w:tc>
        <w:tc>
          <w:tcPr>
            <w:tcW w:w="23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of assessment of the effectiveness of its internal control over financial reporting under Section 404(b) of the Sarbanes-Oxley Act (15 U.S.C. 7262 (b)) by the registered public accounting firm that prepared or issued its audit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 (d) of the Securities Exchange Act of 1934 subsequent to the distribution of securities under a plan confirmed by a court: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the U.S. Securities and Exchange Commission (the “SEC”) declared effective the Registration Statement on Form F-1, as amended (Commission File No. 333-290101) (the “Registration Statement”) of Ultratrex Inc. (the “Company”), a company incorporated under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15d-2 (“Rule 15d-2”) under the Securities Exchange Act of 1934, as amended, provides generally that if a company’s registration statement under the Securities Act of 1933, as amended, did not contain certified financial statements for the company’s last full fiscal year preceding the year in which the registration statement becomes effective, then the company must, within the later of 90 days after the effective date of the registration statement or four months following the end of the registrant’s latest full fiscal year, file a special financial report furnishing certified financial statements for the last full fiscal year, meeting the requirements of the form appropriate for annual reports of that company. Rule 15d-2 further provides that the special financial report is to be filed under cover of the facing sheet of the form appropriate for annual reports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did not contain the certified financial statements of the Company for the last fiscal year ended June 30, 2025; therefore, as required by Rule 15d-2, the Company is hereby filing its certified financial statements for the fiscal year ended June 30, 2025 with the SEC under cover of the facing page of an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w:t>
        <w:b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90"/>
        <w:gridCol w:w="60"/>
        <w:gridCol w:w="455"/>
      </w:tblGrid>
      <w:tr>
        <w:trPr/>
        <w:tc>
          <w:tcPr>
            <w:tcW w:w="96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Contents</w:t>
            </w:r>
          </w:p>
        </w:tc>
        <w:tc>
          <w:tcPr>
            <w:tcW w:w="6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shd w:fill="CCEEFF" w:val="clear"/>
            <w:tcMar>
              <w:bottom w:w="0" w:type="dxa"/>
            </w:tcMar>
            <w:vAlign w:val="center"/>
          </w:tcPr>
          <w:p>
            <w:pPr>
              <w:pStyle w:val="TableContents"/>
              <w:bidi w:val="0"/>
              <w:spacing w:before="0" w:after="283"/>
              <w:jc w:val="left"/>
              <w:rPr/>
            </w:pPr>
            <w:hyperlink w:anchor="f_001">
              <w:r>
                <w:rPr>
                  <w:rStyle w:val="InternetLink"/>
                  <w:rFonts w:ascii="Times New Roman;Times;Serif" w:hAnsi="Times New Roman;Times;Serif"/>
                  <w:sz w:val="20"/>
                </w:rPr>
                <w:t>Report of Independent Registered Public Accounting Firm (PCAOB ID: 1171)</w:t>
              </w:r>
            </w:hyperlink>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9690" w:type="dxa"/>
            <w:tcBorders/>
            <w:tcMar>
              <w:bottom w:w="0" w:type="dxa"/>
            </w:tcM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Statements of Financial Positions as of June 30, 2024 and 2025</w:t>
              </w:r>
            </w:hyperlink>
          </w:p>
        </w:tc>
        <w:tc>
          <w:tcPr>
            <w:tcW w:w="60" w:type="dxa"/>
            <w:tcBorders/>
            <w:tcMar>
              <w:bottom w:w="0" w:type="dxa"/>
            </w:tcMar>
            <w:vAlign w:val="center"/>
          </w:tcPr>
          <w:p>
            <w:pPr>
              <w:pStyle w:val="TableContents"/>
              <w:bidi w:val="0"/>
              <w:spacing w:before="0" w:after="283"/>
              <w:ind w:left="0" w:right="0" w:hanging="200"/>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9690" w:type="dxa"/>
            <w:tcBorders/>
            <w:shd w:fill="CCEEFF" w:val="clear"/>
            <w:tcMar>
              <w:bottom w:w="0" w:type="dxa"/>
            </w:tcMar>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Profit or Loss and Other Comprehensive Income for the Years Ended June 30, 2023, 2024 and 2025</w:t>
              </w:r>
            </w:hyperlink>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9690" w:type="dxa"/>
            <w:tcBorders/>
            <w:tcMar>
              <w:bottom w:w="0" w:type="dxa"/>
            </w:tcM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Changes in Equity for the Years Ended June 30, 2023, 2024 and 2025</w:t>
              </w:r>
            </w:hyperlink>
          </w:p>
        </w:tc>
        <w:tc>
          <w:tcPr>
            <w:tcW w:w="60" w:type="dxa"/>
            <w:tcBorders/>
            <w:tcMar>
              <w:bottom w:w="0" w:type="dxa"/>
            </w:tcMar>
            <w:vAlign w:val="center"/>
          </w:tcPr>
          <w:p>
            <w:pPr>
              <w:pStyle w:val="TableContents"/>
              <w:bidi w:val="0"/>
              <w:spacing w:before="0" w:after="283"/>
              <w:ind w:left="0" w:right="0" w:hanging="200"/>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9690" w:type="dxa"/>
            <w:tcBorders/>
            <w:shd w:fill="CCEEFF" w:val="clear"/>
            <w:tcMar>
              <w:bottom w:w="0" w:type="dxa"/>
            </w:tcMar>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Statements of Cash Flows for the Years Ended June 30, 2023, 2024 and 2025</w:t>
              </w:r>
            </w:hyperlink>
          </w:p>
        </w:tc>
        <w:tc>
          <w:tcPr>
            <w:tcW w:w="60" w:type="dxa"/>
            <w:tcBorders/>
            <w:shd w:fill="CCEEFF" w:val="clear"/>
            <w:tcMar>
              <w:bottom w:w="0" w:type="dxa"/>
            </w:tcMar>
            <w:vAlign w:val="center"/>
          </w:tcPr>
          <w:p>
            <w:pPr>
              <w:pStyle w:val="TableContents"/>
              <w:bidi w:val="0"/>
              <w:spacing w:before="0" w:after="283"/>
              <w:ind w:left="0" w:right="0" w:hanging="200"/>
              <w:jc w:val="left"/>
              <w:rPr/>
            </w:pPr>
            <w:r>
              <w:rPr/>
              <w:t> </w:t>
            </w:r>
          </w:p>
        </w:tc>
        <w:tc>
          <w:tcPr>
            <w:tcW w:w="4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9690" w:type="dxa"/>
            <w:tcBorders/>
            <w:tcMar>
              <w:bottom w:w="0" w:type="dxa"/>
            </w:tcMar>
            <w:vAlign w:val="center"/>
          </w:tcPr>
          <w:p>
            <w:pPr>
              <w:pStyle w:val="TableContents"/>
              <w:bidi w:val="0"/>
              <w:spacing w:before="0" w:after="283"/>
              <w:jc w:val="left"/>
              <w:rPr/>
            </w:pPr>
            <w:hyperlink w:anchor="f_006">
              <w:r>
                <w:rPr>
                  <w:rStyle w:val="InternetLink"/>
                  <w:rFonts w:ascii="Times New Roman;Times;Serif" w:hAnsi="Times New Roman;Times;Serif"/>
                  <w:sz w:val="20"/>
                </w:rPr>
                <w:t>Notes to Consolidated Financial Statements</w:t>
              </w:r>
            </w:hyperlink>
          </w:p>
        </w:tc>
        <w:tc>
          <w:tcPr>
            <w:tcW w:w="60" w:type="dxa"/>
            <w:tcBorders/>
            <w:tcMar>
              <w:bottom w:w="0" w:type="dxa"/>
            </w:tcMar>
            <w:vAlign w:val="center"/>
          </w:tcPr>
          <w:p>
            <w:pPr>
              <w:pStyle w:val="TableContents"/>
              <w:bidi w:val="0"/>
              <w:spacing w:before="0" w:after="283"/>
              <w:ind w:left="0" w:right="0" w:hanging="200"/>
              <w:jc w:val="left"/>
              <w:rPr/>
            </w:pPr>
            <w:r>
              <w:rPr/>
              <w:t> </w:t>
            </w:r>
          </w:p>
        </w:tc>
        <w:tc>
          <w:tcPr>
            <w:tcW w:w="4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 w:name="f_001"/>
      <w:bookmarkEnd w:id="2"/>
      <w:r>
        <w:rPr>
          <w:caps w:val="false"/>
          <w:smallCaps w:val="false"/>
        </w:rPr>
        <w:drawing>
          <wp:inline distT="0" distB="0" distL="0" distR="0">
            <wp:extent cx="561975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19750" cy="847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Shareholders of Ultratrex Inc.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positions of Ultratrex Inc. and its subsidiaries (collectively the “Company”) as of June 30, 2024 and 2025, and the related consolidated statements of profit or loss and other comprehensive income, changes in equity, and cash flows in each of the years for the three-year period ended June 30, 2025 and the related notes (collectively referred to as the “consolidated financial statements”). In our opinion, the consolidated financial statements present fairly, in all material respects, the financial position of the Company as of June 30, 2024 and 2025, and the results of its operations and its cash flows for each of the years in the three-year period ended June 30, 2025, in conformity with International Financial Reporting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WWC, P.C.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WWC,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No. 1171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Mateo,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2442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24425" cy="2952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f_002"/>
      <w:bookmarkEnd w:id="3"/>
      <w:r>
        <w:rPr>
          <w:rFonts w:ascii="Times New Roman;Times;Serif" w:hAnsi="Times New Roman;Times;Serif"/>
          <w:b/>
          <w:i w:val="false"/>
          <w:caps w:val="false"/>
          <w:smallCaps w:val="false"/>
          <w:sz w:val="20"/>
        </w:rPr>
        <w:t>ULTRATREX INC. AND ITS SUBSIDIARIES</w:t>
        <w:br/>
        <w:t>CONSOLIDATED STATEMENTS OF FINANCIAL POSITIONS</w:t>
        <w:br/>
        <w:t>AS OF JUNE 30, 2024 AND 2025</w:t>
      </w:r>
    </w:p>
    <w:p>
      <w:pPr>
        <w:pStyle w:val="TextBody"/>
        <w:bidi w:val="0"/>
        <w:spacing w:before="0" w:after="0"/>
        <w:ind w:left="0" w:right="0" w:hanging="0"/>
        <w:jc w:val="center"/>
        <w:rPr>
          <w:caps w:val="false"/>
          <w:smallCaps w:val="false"/>
        </w:rPr>
      </w:pPr>
      <w:r>
        <w:rPr>
          <w:caps w:val="false"/>
          <w:smallCaps w:val="false"/>
        </w:rPr>
        <w:t> </w:t>
      </w:r>
    </w:p>
    <w:tbl>
      <w:tblPr>
        <w:tblW w:w="8728" w:type="dxa"/>
        <w:jc w:val="left"/>
        <w:tblInd w:w="0" w:type="dxa"/>
        <w:tblLayout w:type="fixed"/>
        <w:tblCellMar>
          <w:top w:w="0" w:type="dxa"/>
          <w:left w:w="0" w:type="dxa"/>
          <w:bottom w:w="0" w:type="dxa"/>
          <w:right w:w="0" w:type="dxa"/>
        </w:tblCellMar>
      </w:tblPr>
      <w:tblGrid>
        <w:gridCol w:w="5945"/>
        <w:gridCol w:w="60"/>
        <w:gridCol w:w="500"/>
        <w:gridCol w:w="60"/>
        <w:gridCol w:w="69"/>
        <w:gridCol w:w="880"/>
        <w:gridCol w:w="95"/>
        <w:gridCol w:w="60"/>
        <w:gridCol w:w="69"/>
        <w:gridCol w:w="880"/>
        <w:gridCol w:w="110"/>
      </w:tblGrid>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1,273</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2,834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2,809</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Financial assets, at fair value through profit or loss (“FVTPL”)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4,116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4,186</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6,762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8,591</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2,246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3,190</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1,070</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578</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Other tax receivables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1,827</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2,474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1,607</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Current tax receivables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229</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17,092</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double" w:sz="10" w:space="0" w:color="000000"/>
            </w:tcBorders>
            <w:shd w:fill="FFFFFF" w:val="clear"/>
            <w:tcMar>
              <w:bottom w:w="28" w:type="dxa"/>
            </w:tcMar>
            <w:vAlign w:val="center"/>
          </w:tcPr>
          <w:p>
            <w:pPr>
              <w:pStyle w:val="TableContents"/>
              <w:bidi w:val="0"/>
              <w:spacing w:before="0" w:after="283"/>
              <w:jc w:val="right"/>
              <w:rPr/>
            </w:pPr>
            <w:r>
              <w:rPr/>
              <w:t>18,191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double" w:sz="10" w:space="0" w:color="000000"/>
            </w:tcBorders>
            <w:shd w:fill="FFFFFF" w:val="clear"/>
            <w:tcMar>
              <w:bottom w:w="28" w:type="dxa"/>
            </w:tcMar>
            <w:vAlign w:val="center"/>
          </w:tcPr>
          <w:p>
            <w:pPr>
              <w:pStyle w:val="TableContents"/>
              <w:bidi w:val="0"/>
              <w:spacing w:before="0" w:after="283"/>
              <w:jc w:val="right"/>
              <w:rPr/>
            </w:pPr>
            <w:r>
              <w:rPr/>
              <w:t>21,278</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624</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Employee benefit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350</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87</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1,561</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1,140</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1,378</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743</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Other tax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476</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825</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17</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1,726</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Current tax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484</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6,010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6,898</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pPr>
            <w:r>
              <w:rPr/>
              <w:t>7,902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pPr>
            <w:r>
              <w:rPr/>
              <w:t>8,459</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b/>
              </w:rPr>
            </w:pPr>
            <w:r>
              <w:rPr>
                <w:b/>
              </w:rPr>
              <w:t>Capital and reserves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22,015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22,015</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Merger reserve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(21,145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(20,626</w:t>
            </w:r>
          </w:p>
        </w:tc>
        <w:tc>
          <w:tcPr>
            <w:tcW w:w="110" w:type="dxa"/>
            <w:tcBorders/>
            <w:shd w:fill="CCEEFF" w:val="clear"/>
            <w:vAlign w:val="center"/>
          </w:tcPr>
          <w:p>
            <w:pPr>
              <w:pStyle w:val="TableContents"/>
              <w:bidi w:val="0"/>
              <w:spacing w:before="0" w:after="283"/>
              <w:jc w:val="left"/>
              <w:rPr/>
            </w:pPr>
            <w:r>
              <w:rPr/>
              <w:t>)</w:t>
            </w:r>
          </w:p>
        </w:tc>
      </w:tr>
      <w:tr>
        <w:trPr/>
        <w:tc>
          <w:tcPr>
            <w:tcW w:w="5945" w:type="dxa"/>
            <w:tcBorders/>
            <w:shd w:fill="FFFFFF" w:val="clear"/>
            <w:vAlign w:val="center"/>
          </w:tcPr>
          <w:p>
            <w:pPr>
              <w:pStyle w:val="TableContents"/>
              <w:bidi w:val="0"/>
              <w:spacing w:before="0" w:after="283"/>
              <w:jc w:val="left"/>
              <w:rPr/>
            </w:pPr>
            <w:r>
              <w:rPr/>
              <w:t>Other reserves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21</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(1,714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(926</w:t>
            </w:r>
          </w:p>
        </w:tc>
        <w:tc>
          <w:tcPr>
            <w:tcW w:w="110" w:type="dxa"/>
            <w:tcBorders/>
            <w:shd w:fill="FFFFFF" w:val="clear"/>
            <w:vAlign w:val="center"/>
          </w:tcPr>
          <w:p>
            <w:pPr>
              <w:pStyle w:val="TableContents"/>
              <w:bidi w:val="0"/>
              <w:spacing w:before="0" w:after="283"/>
              <w:jc w:val="left"/>
              <w:rPr/>
            </w:pPr>
            <w:r>
              <w:rPr/>
              <w:t>)</w:t>
            </w:r>
          </w:p>
        </w:tc>
      </w:tr>
      <w:tr>
        <w:trPr/>
        <w:tc>
          <w:tcPr>
            <w:tcW w:w="5945"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11,131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12,350</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Equity attributable to owners of the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10,287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12,813</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10,289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12,819</w:t>
            </w:r>
          </w:p>
        </w:tc>
        <w:tc>
          <w:tcPr>
            <w:tcW w:w="11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pPr>
            <w:r>
              <w:rPr/>
              <w:t>18,191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pPr>
            <w:r>
              <w:rPr/>
              <w:t>21,278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9423" w:type="dxa"/>
        <w:jc w:val="left"/>
        <w:tblInd w:w="0" w:type="dxa"/>
        <w:tblLayout w:type="fixed"/>
        <w:tblCellMar>
          <w:top w:w="0" w:type="dxa"/>
          <w:left w:w="0" w:type="dxa"/>
          <w:bottom w:w="0" w:type="dxa"/>
          <w:right w:w="0" w:type="dxa"/>
        </w:tblCellMar>
      </w:tblPr>
      <w:tblGrid>
        <w:gridCol w:w="38"/>
        <w:gridCol w:w="14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pPr>
            <w:r>
              <w:rPr/>
              <w:t>Giving retroactive effect to the issuance of ordinary shares effected which are detailed in Note 20.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_003"/>
      <w:bookmarkEnd w:id="4"/>
      <w:r>
        <w:rPr>
          <w:rFonts w:ascii="Times New Roman;Times;Serif" w:hAnsi="Times New Roman;Times;Serif"/>
          <w:b/>
          <w:i w:val="false"/>
          <w:caps w:val="false"/>
          <w:smallCaps w:val="false"/>
          <w:sz w:val="20"/>
        </w:rPr>
        <w:t>ULTRATREX INC. AND ITS SUBSIDIARIES</w:t>
        <w:br/>
        <w:t>CONSOLIDATED STATEMENTS OF PROFIT OR LOSS AND OTHER COMPREHENSIVE INCOME</w:t>
        <w:br/>
        <w:t>FOR THE YEARS ENDED JUNE 30, 2023, 2024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5"/>
        <w:gridCol w:w="60"/>
        <w:gridCol w:w="500"/>
        <w:gridCol w:w="60"/>
        <w:gridCol w:w="60"/>
        <w:gridCol w:w="1100"/>
        <w:gridCol w:w="95"/>
        <w:gridCol w:w="60"/>
        <w:gridCol w:w="60"/>
        <w:gridCol w:w="1100"/>
        <w:gridCol w:w="95"/>
        <w:gridCol w:w="60"/>
        <w:gridCol w:w="60"/>
        <w:gridCol w:w="1100"/>
        <w:gridCol w:w="110"/>
      </w:tblGrid>
      <w:tr>
        <w:trPr/>
        <w:tc>
          <w:tcPr>
            <w:tcW w:w="5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5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jc w:val="center"/>
              <w:rPr/>
            </w:pPr>
            <w:r>
              <w:rPr/>
              <w:t> </w:t>
            </w:r>
          </w:p>
        </w:tc>
      </w:tr>
      <w:tr>
        <w:trPr/>
        <w:tc>
          <w:tcPr>
            <w:tcW w:w="56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16,755</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(9,029</w:t>
            </w:r>
          </w:p>
        </w:tc>
        <w:tc>
          <w:tcPr>
            <w:tcW w:w="110" w:type="dxa"/>
            <w:tcBorders/>
            <w:shd w:fill="FFFFFF" w:val="clear"/>
            <w:vAlign w:val="center"/>
          </w:tcPr>
          <w:p>
            <w:pPr>
              <w:pStyle w:val="TableContents"/>
              <w:bidi w:val="0"/>
              <w:spacing w:before="0" w:after="283"/>
              <w:jc w:val="left"/>
              <w:rPr/>
            </w:pPr>
            <w:r>
              <w:rPr/>
              <w:t>)</w:t>
            </w:r>
          </w:p>
        </w:tc>
      </w:tr>
      <w:tr>
        <w:trPr/>
        <w:tc>
          <w:tcPr>
            <w:tcW w:w="568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7,726</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(2,121</w:t>
            </w:r>
          </w:p>
        </w:tc>
        <w:tc>
          <w:tcPr>
            <w:tcW w:w="110" w:type="dxa"/>
            <w:tcBorders/>
            <w:shd w:fill="CCEEFF" w:val="clear"/>
            <w:vAlign w:val="center"/>
          </w:tcPr>
          <w:p>
            <w:pPr>
              <w:pStyle w:val="TableContents"/>
              <w:bidi w:val="0"/>
              <w:spacing w:before="0" w:after="283"/>
              <w:jc w:val="left"/>
              <w:rPr/>
            </w:pPr>
            <w:r>
              <w:rPr/>
              <w:t>)</w:t>
            </w:r>
          </w:p>
        </w:tc>
      </w:tr>
      <w:tr>
        <w:trPr/>
        <w:tc>
          <w:tcPr>
            <w:tcW w:w="5685" w:type="dxa"/>
            <w:tcBorders/>
            <w:shd w:fill="FFFFFF" w:val="clear"/>
            <w:vAlign w:val="center"/>
          </w:tcPr>
          <w:p>
            <w:pPr>
              <w:pStyle w:val="TableContents"/>
              <w:bidi w:val="0"/>
              <w:spacing w:before="0" w:after="283"/>
              <w:jc w:val="left"/>
              <w:rPr/>
            </w:pPr>
            <w:r>
              <w:rPr/>
              <w:t>Administrative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(3,103</w:t>
            </w:r>
          </w:p>
        </w:tc>
        <w:tc>
          <w:tcPr>
            <w:tcW w:w="110" w:type="dxa"/>
            <w:tcBorders/>
            <w:shd w:fill="FFFFFF" w:val="clear"/>
            <w:vAlign w:val="center"/>
          </w:tcPr>
          <w:p>
            <w:pPr>
              <w:pStyle w:val="TableContents"/>
              <w:bidi w:val="0"/>
              <w:spacing w:before="0" w:after="283"/>
              <w:jc w:val="left"/>
              <w:rPr/>
            </w:pPr>
            <w:r>
              <w:rPr/>
              <w:t>)</w:t>
            </w:r>
          </w:p>
        </w:tc>
      </w:tr>
      <w:tr>
        <w:trPr/>
        <w:tc>
          <w:tcPr>
            <w:tcW w:w="5685" w:type="dxa"/>
            <w:tcBorders/>
            <w:shd w:fill="CCEEFF" w:val="clear"/>
            <w:vAlign w:val="center"/>
          </w:tcPr>
          <w:p>
            <w:pPr>
              <w:pStyle w:val="TableContents"/>
              <w:bidi w:val="0"/>
              <w:spacing w:before="0" w:after="283"/>
              <w:jc w:val="left"/>
              <w:rPr/>
            </w:pPr>
            <w:r>
              <w:rPr/>
              <w:t>Impairment losses for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(44</w:t>
            </w:r>
          </w:p>
        </w:tc>
        <w:tc>
          <w:tcPr>
            <w:tcW w:w="110" w:type="dxa"/>
            <w:tcBorders/>
            <w:shd w:fill="CCEEFF" w:val="clear"/>
            <w:vAlign w:val="center"/>
          </w:tcPr>
          <w:p>
            <w:pPr>
              <w:pStyle w:val="TableContents"/>
              <w:bidi w:val="0"/>
              <w:spacing w:before="0" w:after="283"/>
              <w:jc w:val="left"/>
              <w:rPr/>
            </w:pPr>
            <w:r>
              <w:rPr/>
              <w:t>)</w:t>
            </w:r>
          </w:p>
        </w:tc>
      </w:tr>
      <w:tr>
        <w:trPr/>
        <w:tc>
          <w:tcPr>
            <w:tcW w:w="5685" w:type="dxa"/>
            <w:tcBorders/>
            <w:shd w:fill="FFFFFF" w:val="clear"/>
            <w:vAlign w:val="center"/>
          </w:tcPr>
          <w:p>
            <w:pPr>
              <w:pStyle w:val="TableContents"/>
              <w:bidi w:val="0"/>
              <w:spacing w:before="0" w:after="283"/>
              <w:jc w:val="left"/>
              <w:rPr/>
            </w:pPr>
            <w:r>
              <w:rPr/>
              <w:t>(Loss)/income from operation before income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2,458</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449</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Finance 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(176</w:t>
            </w:r>
          </w:p>
        </w:tc>
        <w:tc>
          <w:tcPr>
            <w:tcW w:w="110" w:type="dxa"/>
            <w:tcBorders/>
            <w:shd w:fill="CCEEFF" w:val="clear"/>
            <w:vAlign w:val="center"/>
          </w:tcPr>
          <w:p>
            <w:pPr>
              <w:pStyle w:val="TableContents"/>
              <w:bidi w:val="0"/>
              <w:spacing w:before="0" w:after="283"/>
              <w:jc w:val="left"/>
              <w:rPr/>
            </w:pPr>
            <w:r>
              <w:rPr/>
              <w:t>)</w:t>
            </w:r>
          </w:p>
        </w:tc>
      </w:tr>
      <w:tr>
        <w:trPr/>
        <w:tc>
          <w:tcPr>
            <w:tcW w:w="5685" w:type="dxa"/>
            <w:tcBorders/>
            <w:shd w:fill="FFFFFF" w:val="clear"/>
            <w:vAlign w:val="center"/>
          </w:tcPr>
          <w:p>
            <w:pPr>
              <w:pStyle w:val="TableContents"/>
              <w:bidi w:val="0"/>
              <w:spacing w:before="0" w:after="283"/>
              <w:jc w:val="left"/>
              <w:rPr>
                <w:b/>
              </w:rPr>
            </w:pPr>
            <w:r>
              <w:rPr>
                <w:b/>
              </w:rPr>
              <w:t>(Loss)/profit before income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2,731</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(989</w:t>
            </w:r>
          </w:p>
        </w:tc>
        <w:tc>
          <w:tcPr>
            <w:tcW w:w="110" w:type="dxa"/>
            <w:tcBorders/>
            <w:shd w:fill="CCEEFF" w:val="clear"/>
            <w:vAlign w:val="center"/>
          </w:tcPr>
          <w:p>
            <w:pPr>
              <w:pStyle w:val="TableContents"/>
              <w:bidi w:val="0"/>
              <w:spacing w:before="0" w:after="283"/>
              <w:jc w:val="left"/>
              <w:rPr/>
            </w:pPr>
            <w:r>
              <w:rPr/>
              <w:t>)</w:t>
            </w:r>
          </w:p>
        </w:tc>
      </w:tr>
      <w:tr>
        <w:trPr/>
        <w:tc>
          <w:tcPr>
            <w:tcW w:w="5685" w:type="dxa"/>
            <w:tcBorders/>
            <w:shd w:fill="FFFFFF" w:val="clear"/>
            <w:vAlign w:val="center"/>
          </w:tcPr>
          <w:p>
            <w:pPr>
              <w:pStyle w:val="TableContents"/>
              <w:bidi w:val="0"/>
              <w:spacing w:before="0" w:after="283"/>
              <w:jc w:val="left"/>
              <w:rPr>
                <w:b/>
              </w:rPr>
            </w:pPr>
            <w:r>
              <w:rPr>
                <w:b/>
              </w:rPr>
              <w:t>Net (loss)/profit for the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1,742</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b/>
              </w:rPr>
            </w:pPr>
            <w:r>
              <w:rPr>
                <w:b/>
              </w:rPr>
              <w:t>Other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i/>
              </w:rPr>
            </w:pPr>
            <w:r>
              <w:rPr>
                <w:i/>
              </w:rPr>
              <w:t>Item that may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Foreign currency translations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722</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i/>
              </w:rPr>
            </w:pPr>
            <w:r>
              <w:rPr>
                <w:i/>
              </w:rPr>
              <w:t>Item that will not be reclassified subsequently to profit or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Remeasurements of post-employment obligations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b/>
              </w:rPr>
            </w:pPr>
            <w:r>
              <w:rPr>
                <w:b/>
              </w:rPr>
              <w:t>Total comprehensive (loss)/income for the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2,530</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b/>
              </w:rPr>
            </w:pPr>
            <w:r>
              <w:rPr>
                <w:b/>
              </w:rPr>
              <w:t>(Loss)/Profit attributable to:</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Equity owners of the Company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1,738</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1,742</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b/>
              </w:rPr>
            </w:pPr>
            <w:r>
              <w:rPr>
                <w:b/>
              </w:rPr>
              <w:t>Total comprehensive (loss)/income attributable to: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Equity owners of the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2,526</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2,530</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b/>
              </w:rPr>
            </w:pPr>
            <w:r>
              <w:rPr>
                <w:b/>
              </w:rPr>
              <w:t>Basic and Diluted Earnings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0.12</w:t>
            </w:r>
          </w:p>
        </w:tc>
        <w:tc>
          <w:tcPr>
            <w:tcW w:w="110"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283"/>
              <w:jc w:val="left"/>
              <w:rPr>
                <w:b/>
              </w:rPr>
            </w:pPr>
            <w:r>
              <w:rPr>
                <w:b/>
              </w:rPr>
              <w:t>Weighted Average Number of Common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15,000,000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9423" w:type="dxa"/>
        <w:jc w:val="left"/>
        <w:tblInd w:w="0" w:type="dxa"/>
        <w:tblLayout w:type="fixed"/>
        <w:tblCellMar>
          <w:top w:w="0" w:type="dxa"/>
          <w:left w:w="0" w:type="dxa"/>
          <w:bottom w:w="0" w:type="dxa"/>
          <w:right w:w="0" w:type="dxa"/>
        </w:tblCellMar>
      </w:tblPr>
      <w:tblGrid>
        <w:gridCol w:w="38"/>
        <w:gridCol w:w="14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pPr>
            <w:r>
              <w:rPr/>
              <w:t>Giving retroactive effect to the issuance of ordinary shares effected which are detailed in Note 20.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_004"/>
      <w:bookmarkEnd w:id="5"/>
      <w:r>
        <w:rPr>
          <w:rFonts w:ascii="Times New Roman;Times;Serif" w:hAnsi="Times New Roman;Times;Serif"/>
          <w:b/>
          <w:i w:val="false"/>
          <w:caps w:val="false"/>
          <w:smallCaps w:val="false"/>
          <w:sz w:val="20"/>
        </w:rPr>
        <w:t>ULTRATREX INC. AND ITS SUBSIDIARIES</w:t>
        <w:br/>
        <w:t>CONSOLIDATED STATEMENTS OF CHANGES IN EQUITY</w:t>
        <w:br/>
        <w:t xml:space="preserve">FOR THE YEARS ENDED JUNE 30, 2023, 2024 </w:t>
      </w:r>
      <w:r>
        <w:rPr>
          <w:rFonts w:ascii="Times New Roman;Times;Serif" w:hAnsi="Times New Roman;Times;Serif"/>
          <w:b/>
          <w:i w:val="false"/>
          <w:caps/>
          <w:sz w:val="20"/>
        </w:rPr>
        <w:t>and</w:t>
      </w:r>
      <w:r>
        <w:rPr>
          <w:rFonts w:ascii="Times New Roman;Times;Serif" w:hAnsi="Times New Roman;Times;Serif"/>
          <w:b/>
          <w:i w:val="false"/>
          <w:caps w:val="false"/>
          <w:smallCaps w:val="false"/>
          <w:sz w:val="20"/>
        </w:rPr>
        <w:t xml:space="preserve">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4"/>
        <w:gridCol w:w="60"/>
        <w:gridCol w:w="380"/>
        <w:gridCol w:w="60"/>
        <w:gridCol w:w="60"/>
        <w:gridCol w:w="950"/>
        <w:gridCol w:w="60"/>
        <w:gridCol w:w="60"/>
        <w:gridCol w:w="60"/>
        <w:gridCol w:w="515"/>
        <w:gridCol w:w="60"/>
        <w:gridCol w:w="60"/>
        <w:gridCol w:w="60"/>
        <w:gridCol w:w="575"/>
        <w:gridCol w:w="80"/>
        <w:gridCol w:w="60"/>
        <w:gridCol w:w="102"/>
        <w:gridCol w:w="833"/>
        <w:gridCol w:w="80"/>
        <w:gridCol w:w="60"/>
        <w:gridCol w:w="147"/>
        <w:gridCol w:w="863"/>
        <w:gridCol w:w="80"/>
        <w:gridCol w:w="60"/>
        <w:gridCol w:w="74"/>
        <w:gridCol w:w="636"/>
        <w:gridCol w:w="80"/>
        <w:gridCol w:w="60"/>
        <w:gridCol w:w="102"/>
        <w:gridCol w:w="878"/>
        <w:gridCol w:w="80"/>
        <w:gridCol w:w="60"/>
        <w:gridCol w:w="156"/>
        <w:gridCol w:w="689"/>
        <w:gridCol w:w="80"/>
        <w:gridCol w:w="60"/>
        <w:gridCol w:w="60"/>
        <w:gridCol w:w="515"/>
        <w:gridCol w:w="76"/>
      </w:tblGrid>
      <w:tr>
        <w:trPr/>
        <w:tc>
          <w:tcPr>
            <w:tcW w:w="127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5"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Attributable to owners of the 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Ordinary </w:t>
              <w:br/>
              <w:t xml:space="preserve">shares*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Foreign </w:t>
              <w:br/>
              <w:t xml:space="preserve">currency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Post- </w:t>
              <w:br/>
              <w:t>employment </w:t>
              <w:br/>
              <w:t>benefit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 </w:t>
              <w:br/>
              <w:t>attributable </w:t>
              <w:br/>
              <w:t xml:space="preserve">to owners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Merger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translations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obligations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Retained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of the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controlling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reserve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reserve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reserve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earnings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interests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7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USD’000</w:t>
            </w:r>
          </w:p>
        </w:tc>
        <w:tc>
          <w:tcPr>
            <w:tcW w:w="76"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July 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(21,145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8,758</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Total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for the financial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(832</w:t>
            </w:r>
          </w:p>
        </w:tc>
        <w:tc>
          <w:tcPr>
            <w:tcW w:w="7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Foreign currency translations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(293</w:t>
            </w:r>
          </w:p>
        </w:tc>
        <w:tc>
          <w:tcPr>
            <w:tcW w:w="7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Remeasurements of post-employment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(1,119</w:t>
            </w:r>
          </w:p>
        </w:tc>
        <w:tc>
          <w:tcPr>
            <w:tcW w:w="7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Transactions with owners of the Company recognized directly in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Contributions from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Dividend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w:t>
            </w:r>
          </w:p>
        </w:tc>
        <w:tc>
          <w:tcPr>
            <w:tcW w:w="7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(127</w:t>
            </w:r>
          </w:p>
        </w:tc>
        <w:tc>
          <w:tcPr>
            <w:tcW w:w="7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June 30, 2023 and July 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(21,145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7,512</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Profit for the financial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4,148</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Foreign currency translations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(699</w:t>
            </w:r>
          </w:p>
        </w:tc>
        <w:tc>
          <w:tcPr>
            <w:tcW w:w="7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Remeasurements of post-employment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(170</w:t>
            </w:r>
          </w:p>
        </w:tc>
        <w:tc>
          <w:tcPr>
            <w:tcW w:w="7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3,279</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Transactions with owners of the Company recognized directly in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Dividend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76"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76"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June 30, 2024 and July 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(21,145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10,289</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Profit for the financial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1,742</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Foreign currency translations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722</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Remeasurements of post-employment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2,530</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Transactions with owners of the Company recognized directly in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Effects of merger accounting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2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(20,626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12,819</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9400" w:type="dxa"/>
        <w:jc w:val="left"/>
        <w:tblInd w:w="0" w:type="dxa"/>
        <w:tblLayout w:type="fixed"/>
        <w:tblCellMar>
          <w:top w:w="0" w:type="dxa"/>
          <w:left w:w="0" w:type="dxa"/>
          <w:bottom w:w="0" w:type="dxa"/>
          <w:right w:w="0" w:type="dxa"/>
        </w:tblCellMar>
      </w:tblPr>
      <w:tblGrid>
        <w:gridCol w:w="155"/>
        <w:gridCol w:w="9245"/>
      </w:tblGrid>
      <w:tr>
        <w:trPr/>
        <w:tc>
          <w:tcPr>
            <w:tcW w:w="155"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pPr>
            <w:r>
              <w:rPr/>
              <w:t>Giving retroactive effect to the issuance of ordinary shares effected which are detailed in Note 20.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f_005"/>
      <w:bookmarkEnd w:id="6"/>
      <w:r>
        <w:rPr>
          <w:rFonts w:ascii="Times New Roman;Times;Serif" w:hAnsi="Times New Roman;Times;Serif"/>
          <w:b/>
          <w:i w:val="false"/>
          <w:caps w:val="false"/>
          <w:smallCaps w:val="false"/>
          <w:sz w:val="20"/>
        </w:rPr>
        <w:t>ULTRATREX INC. AND ITS SUBSIDIARIES</w:t>
        <w:br/>
        <w:t>CONSOLIDATED STATEMENTS OF CASH FLOWS</w:t>
        <w:br/>
        <w:t>FOR THE YEARS ENDED JUNE 30, 2023, 2024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6"/>
        <w:gridCol w:w="60"/>
        <w:gridCol w:w="597"/>
        <w:gridCol w:w="60"/>
        <w:gridCol w:w="71"/>
        <w:gridCol w:w="760"/>
        <w:gridCol w:w="95"/>
        <w:gridCol w:w="60"/>
        <w:gridCol w:w="71"/>
        <w:gridCol w:w="760"/>
        <w:gridCol w:w="95"/>
        <w:gridCol w:w="60"/>
        <w:gridCol w:w="71"/>
        <w:gridCol w:w="760"/>
        <w:gridCol w:w="99"/>
      </w:tblGrid>
      <w:tr>
        <w:trPr/>
        <w:tc>
          <w:tcPr>
            <w:tcW w:w="6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8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r>
      <w:tr>
        <w:trPr/>
        <w:tc>
          <w:tcPr>
            <w:tcW w:w="6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center"/>
              <w:rPr>
                <w:b/>
              </w:rPr>
            </w:pPr>
            <w:r>
              <w:rPr>
                <w:b/>
              </w:rPr>
              <w:t>USD’000</w:t>
            </w:r>
          </w:p>
        </w:tc>
        <w:tc>
          <w:tcPr>
            <w:tcW w:w="99" w:type="dxa"/>
            <w:tcBorders/>
            <w:vAlign w:val="center"/>
          </w:tcPr>
          <w:p>
            <w:pPr>
              <w:pStyle w:val="TableContents"/>
              <w:bidi w:val="0"/>
              <w:spacing w:before="0" w:after="283"/>
              <w:jc w:val="left"/>
              <w:rPr/>
            </w:pPr>
            <w:r>
              <w:rPr/>
              <w:t> </w:t>
            </w:r>
          </w:p>
        </w:tc>
      </w:tr>
      <w:tr>
        <w:trPr/>
        <w:tc>
          <w:tcPr>
            <w:tcW w:w="6586"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(Loss)/profit before income taxes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2,731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b/>
              </w:rPr>
            </w:pPr>
            <w:r>
              <w:rPr>
                <w:b/>
              </w:rPr>
              <w:t>Adjustments for:</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Bad debts written off</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24</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Depreciation of property, plant and equipment</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236</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Depreciation of right-of-use assets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571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Employee benefit obligations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83</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Fair value loss/(gain) on financial assets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Written off of property, plant and equipment</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6</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Gain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(46</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26</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176</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25</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(27</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pPr>
            <w:r>
              <w:rPr/>
              <w:t>Inventories written down/(written back)</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(298</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586" w:type="dxa"/>
            <w:tcBorders/>
            <w:shd w:fill="FFFFFF" w:val="clear"/>
            <w:vAlign w:val="center"/>
          </w:tcPr>
          <w:p>
            <w:pPr>
              <w:pStyle w:val="TableContents"/>
              <w:bidi w:val="0"/>
              <w:spacing w:before="0" w:after="283"/>
              <w:jc w:val="left"/>
              <w:rPr/>
            </w:pPr>
            <w:r>
              <w:rPr/>
              <w:t>Impairment losses for receivables - net</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8 &amp; 10</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44</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Provision for warranty</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47</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Reversal of provision for unutilized leave</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Unrealized (gain)/loss on foreign exchange, net</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(779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688</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Operating profit before changes in working capital</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5,979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4,279</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b/>
              </w:rPr>
            </w:pPr>
            <w:r>
              <w:rPr>
                <w:b/>
              </w:rPr>
              <w:t>Changes in working capital:</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(247</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586"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(1,586</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pPr>
            <w:r>
              <w:rPr/>
              <w:t>Trade and other receivables, including deferred offering costs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(2,039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586"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103</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b/>
              </w:rPr>
            </w:pPr>
            <w:r>
              <w:rPr>
                <w:b/>
              </w:rPr>
              <w:t>Cash generated from operating operations: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510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Taxes paid, net</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(1,258</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b/>
              </w:rPr>
            </w:pPr>
            <w:r>
              <w:rPr>
                <w:b/>
              </w:rPr>
              <w:t>Net cash (used in)/from operating activities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2,650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(748</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Acquisition of right-of-use assets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(109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pPr>
            <w:r>
              <w:rPr/>
              <w:t>Changes in fixed deposit pledged and maturities with more than three months from the date of acquisition</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271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Contributions from non-controlling interests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Interest received</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27</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Proceeds from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46</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(395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(415</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586" w:type="dxa"/>
            <w:tcBorders/>
            <w:shd w:fill="FFFFFF" w:val="clear"/>
            <w:vAlign w:val="center"/>
          </w:tcPr>
          <w:p>
            <w:pPr>
              <w:pStyle w:val="TableContents"/>
              <w:bidi w:val="0"/>
              <w:spacing w:before="0" w:after="283"/>
              <w:jc w:val="left"/>
              <w:rPr>
                <w:b/>
              </w:rPr>
            </w:pPr>
            <w:r>
              <w:rPr>
                <w:b/>
              </w:rPr>
              <w:t>Net cash from/(used in) investing activities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FFFFFF" w:val="clear"/>
            <w:tcMar>
              <w:bottom w:w="28" w:type="dxa"/>
            </w:tcMar>
            <w:vAlign w:val="center"/>
          </w:tcPr>
          <w:p>
            <w:pPr>
              <w:pStyle w:val="TableContents"/>
              <w:bidi w:val="0"/>
              <w:spacing w:before="0" w:after="283"/>
              <w:jc w:val="right"/>
              <w:rPr/>
            </w:pPr>
            <w:r>
              <w:rPr/>
              <w:t>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FFFFFF" w:val="clear"/>
            <w:tcMar>
              <w:bottom w:w="28" w:type="dxa"/>
            </w:tcMar>
            <w:vAlign w:val="center"/>
          </w:tcPr>
          <w:p>
            <w:pPr>
              <w:pStyle w:val="TableContents"/>
              <w:bidi w:val="0"/>
              <w:spacing w:before="0" w:after="283"/>
              <w:jc w:val="right"/>
              <w:rPr/>
            </w:pPr>
            <w:r>
              <w:rPr/>
              <w:t>(679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FFFFFF" w:val="clear"/>
            <w:tcMar>
              <w:bottom w:w="28" w:type="dxa"/>
            </w:tcMar>
            <w:vAlign w:val="center"/>
          </w:tcPr>
          <w:p>
            <w:pPr>
              <w:pStyle w:val="TableContents"/>
              <w:bidi w:val="0"/>
              <w:spacing w:before="0" w:after="283"/>
              <w:jc w:val="right"/>
              <w:rPr/>
            </w:pPr>
            <w:r>
              <w:rPr/>
              <w:t>(180</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Advances from/(repayment to) related parties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Advances from shareholders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1,312</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pPr>
            <w:r>
              <w:rPr/>
              <w:t>Dividends paid</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28</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Net repayments of borrowings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(327</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pPr>
            <w:r>
              <w:rPr/>
              <w:t>Net repayments of lease liabilities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(567</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6586"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(176</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b/>
              </w:rPr>
            </w:pPr>
            <w:r>
              <w:rPr>
                <w:b/>
              </w:rPr>
              <w:t>Net cash (used in)/from financing activities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(1,310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pPr>
            <w:r>
              <w:rPr/>
              <w:t>273</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Net (decrease)/increase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(1,091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(655</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6586" w:type="dxa"/>
            <w:tcBorders/>
            <w:shd w:fill="CCEEFF" w:val="clear"/>
            <w:vAlign w:val="center"/>
          </w:tcPr>
          <w:p>
            <w:pPr>
              <w:pStyle w:val="TableContents"/>
              <w:bidi w:val="0"/>
              <w:spacing w:before="0" w:after="283"/>
              <w:jc w:val="left"/>
              <w:rPr/>
            </w:pPr>
            <w:r>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59</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Cash and cash equivalents at beginning of year</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2,458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1,837</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b/>
              </w:rPr>
            </w:pPr>
            <w:r>
              <w:rPr>
                <w:b/>
              </w:rPr>
              <w:t>Cash and cash equivalents at end of year</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1,252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1,837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1,241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6586" w:type="dxa"/>
            <w:tcBorders/>
            <w:shd w:fill="FFFFFF" w:val="clear"/>
            <w:vAlign w:val="center"/>
          </w:tcPr>
          <w:p>
            <w:pPr>
              <w:pStyle w:val="TableContents"/>
              <w:bidi w:val="0"/>
              <w:spacing w:before="0" w:after="283"/>
              <w:jc w:val="left"/>
              <w:rPr/>
            </w:pPr>
            <w:r>
              <w:rPr/>
              <w:t>Add: Deposit pledged with financial instruments and maturities for more than 3 months from the date of acquisition</w:t>
            </w:r>
          </w:p>
        </w:tc>
        <w:tc>
          <w:tcPr>
            <w:tcW w:w="6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366</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6586" w:type="dxa"/>
            <w:tcBorders/>
            <w:shd w:fill="CCEEFF" w:val="clear"/>
            <w:vAlign w:val="center"/>
          </w:tcPr>
          <w:p>
            <w:pPr>
              <w:pStyle w:val="TableContents"/>
              <w:bidi w:val="0"/>
              <w:spacing w:before="0" w:after="283"/>
              <w:jc w:val="left"/>
              <w:rPr>
                <w:b/>
              </w:rPr>
            </w:pPr>
            <w:r>
              <w:rPr>
                <w:b/>
              </w:rPr>
              <w:t>Cash and cash equivalents at end of year presented in the statements of financial position</w:t>
            </w:r>
          </w:p>
        </w:tc>
        <w:tc>
          <w:tcPr>
            <w:tcW w:w="60"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1,775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2,474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1,607</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CONSOLIDATED STATEMENTS OF CASH FLOWS — (Continued)</w:t>
        <w:br/>
        <w:t xml:space="preserve">FOR THE YEARS ENDED JUNE 30, 2023, 2024 </w:t>
      </w:r>
      <w:r>
        <w:rPr>
          <w:rFonts w:ascii="Times New Roman;Times;Serif" w:hAnsi="Times New Roman;Times;Serif"/>
          <w:b/>
          <w:i w:val="false"/>
          <w:caps/>
          <w:sz w:val="20"/>
        </w:rPr>
        <w:t>and</w:t>
      </w:r>
      <w:r>
        <w:rPr>
          <w:rFonts w:ascii="Times New Roman;Times;Serif" w:hAnsi="Times New Roman;Times;Serif"/>
          <w:b/>
          <w:i w:val="false"/>
          <w:caps w:val="false"/>
          <w:smallCaps w:val="false"/>
          <w:sz w:val="20"/>
        </w:rPr>
        <w:t xml:space="preserv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liabilities arising from financing activities as follows:</w:t>
      </w:r>
    </w:p>
    <w:p>
      <w:pPr>
        <w:pStyle w:val="TextBody"/>
        <w:bidi w:val="0"/>
        <w:spacing w:before="0" w:after="0"/>
        <w:ind w:left="0" w:right="0" w:hanging="0"/>
        <w:jc w:val="both"/>
        <w:rPr>
          <w:caps w:val="false"/>
          <w:smallCaps w:val="false"/>
        </w:rPr>
      </w:pPr>
      <w:r>
        <w:rPr>
          <w:caps w:val="false"/>
          <w:smallCaps w:val="false"/>
        </w:rPr>
        <w:t> </w:t>
      </w:r>
    </w:p>
    <w:tbl>
      <w:tblPr>
        <w:tblW w:w="7877" w:type="dxa"/>
        <w:jc w:val="left"/>
        <w:tblInd w:w="0" w:type="dxa"/>
        <w:tblLayout w:type="fixed"/>
        <w:tblCellMar>
          <w:top w:w="0" w:type="dxa"/>
          <w:left w:w="0" w:type="dxa"/>
          <w:bottom w:w="0" w:type="dxa"/>
          <w:right w:w="0" w:type="dxa"/>
        </w:tblCellMar>
      </w:tblPr>
      <w:tblGrid>
        <w:gridCol w:w="2915"/>
        <w:gridCol w:w="60"/>
        <w:gridCol w:w="129"/>
        <w:gridCol w:w="1210"/>
        <w:gridCol w:w="60"/>
        <w:gridCol w:w="60"/>
        <w:gridCol w:w="109"/>
        <w:gridCol w:w="1020"/>
        <w:gridCol w:w="95"/>
        <w:gridCol w:w="60"/>
        <w:gridCol w:w="94"/>
        <w:gridCol w:w="886"/>
        <w:gridCol w:w="95"/>
        <w:gridCol w:w="60"/>
        <w:gridCol w:w="91"/>
        <w:gridCol w:w="858"/>
        <w:gridCol w:w="75"/>
      </w:tblGrid>
      <w:tr>
        <w:trPr/>
        <w:tc>
          <w:tcPr>
            <w:tcW w:w="29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At </w:t>
              <w:br/>
              <w:t xml:space="preserve">beginning of </w:t>
              <w:br/>
              <w:t>financial</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Cash flows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Non-cash</w:t>
              <w:br/>
              <w:t>changes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At </w:t>
              <w:br/>
              <w:t>end of</w:t>
              <w:br/>
              <w:t>financial</w:t>
              <w:br/>
              <w:t>year</w:t>
            </w:r>
          </w:p>
        </w:tc>
        <w:tc>
          <w:tcPr>
            <w:tcW w:w="75" w:type="dxa"/>
            <w:tcBorders/>
            <w:vAlign w:val="center"/>
          </w:tcPr>
          <w:p>
            <w:pPr>
              <w:pStyle w:val="TableContents"/>
              <w:bidi w:val="0"/>
              <w:spacing w:before="0" w:after="283"/>
              <w:ind w:left="0" w:right="0" w:hanging="180"/>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180"/>
              <w:jc w:val="left"/>
              <w:rPr/>
            </w:pPr>
            <w:r>
              <w:rPr/>
              <w:t> </w:t>
            </w:r>
          </w:p>
        </w:tc>
      </w:tr>
      <w:tr>
        <w:trPr/>
        <w:tc>
          <w:tcPr>
            <w:tcW w:w="2915" w:type="dxa"/>
            <w:tcBorders/>
            <w:vAlign w:val="center"/>
          </w:tcPr>
          <w:p>
            <w:pPr>
              <w:pStyle w:val="TableContents"/>
              <w:bidi w:val="0"/>
              <w:spacing w:before="0" w:after="283"/>
              <w:jc w:val="left"/>
              <w:rPr>
                <w:b/>
              </w:rPr>
            </w:pPr>
            <w:r>
              <w:rPr>
                <w:b/>
              </w:rPr>
              <w:t>2025</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Lease liabilities (Note 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Borrowings (Note 15)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1,297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1,100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1,312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1,726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b/>
              </w:rPr>
            </w:pPr>
            <w:r>
              <w:rPr>
                <w:b/>
              </w:rPr>
              <w:t>2024</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Lease liabilities (Note 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731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Borrowings (Note 15)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1,408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1,297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414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b/>
              </w:rPr>
            </w:pPr>
            <w:r>
              <w:rPr>
                <w:b/>
              </w:rPr>
              <w:t>2023</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Lease liabilities (Note 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1,365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Borrowings (Note 15)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2,037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1,408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91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915"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_006"/>
      <w:bookmarkEnd w:id="7"/>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55"/>
        <w:gridCol w:w="3110"/>
      </w:tblGrid>
      <w:tr>
        <w:trPr/>
        <w:tc>
          <w:tcPr>
            <w:tcW w:w="155" w:type="dxa"/>
            <w:tcBorders/>
            <w:vAlign w:val="center"/>
          </w:tcPr>
          <w:p>
            <w:pPr>
              <w:pStyle w:val="TableContents"/>
              <w:bidi w:val="0"/>
              <w:spacing w:before="0" w:after="283"/>
              <w:jc w:val="left"/>
              <w:rPr>
                <w:b/>
              </w:rPr>
            </w:pPr>
            <w:r>
              <w:rPr>
                <w:b/>
              </w:rPr>
              <w:t>1</w:t>
            </w:r>
          </w:p>
        </w:tc>
        <w:tc>
          <w:tcPr>
            <w:tcW w:w="3110" w:type="dxa"/>
            <w:tcBorders/>
            <w:vAlign w:val="center"/>
          </w:tcPr>
          <w:p>
            <w:pPr>
              <w:pStyle w:val="TableContents"/>
              <w:bidi w:val="0"/>
              <w:spacing w:before="0" w:after="283"/>
              <w:jc w:val="both"/>
              <w:rPr>
                <w:b/>
              </w:rPr>
            </w:pPr>
            <w:r>
              <w:rPr>
                <w:b/>
              </w:rPr>
              <w:t>GENERAL INFORMATION</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Ultratrex Inc. (the “Company”) is a holding company incorporated on August 15, 2024, under the laws of the Cayman Islands. The Company has no substantial operations other than as an investment holding of the entire share capital of Ultratrex Asia Pacific Pte. Ltd. (“USG”), a Singapore company incorporated on July 3, 2024.</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USG is an investment holding of Ultratrex Machinery Sdn. Bhd. (“UMSB”), PT Ultratrex Indonesia (“UI”), Ultratrex Co., Ltd. (“UJ”) and PT Ultratrex Machinery Indonesia (“UMI”).</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UMSB are manufacturing, trading and leasing of all kinds of hydraulic cranes, related heavy machineries and spare parts. Currently, UMSB’s main revenue segment is generated from manufacturing and sale of amphibious vehicles and spare parts.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UI are manufacturing, trading and leasing of amphibious excavators, dredgers machineries and amphibious harvesters, leasing of all kinds of hydraulic cranes, related heavy machineries and spares parts. Currently, UI’s main revenue segment is mainly generated from sale of amphibious vehicles and spare parts in Indonesia.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UJ are import and export of heavy machineries and related business. UJ mainly generated its revenue from the sale of amphibious vehicles to its related companies.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UMI are manufacturing and trading of amphibious excavators, dredgers machineries, and amphibious harvesters. Currently, UMI’s main revenue segment is mainly generated from manufacturing and sale of amphibious vehicle to its related company.</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reorganization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structure which represents the operating subsidiaries and dormant companies as of the reporting date is as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152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2152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55"/>
        <w:gridCol w:w="3785"/>
      </w:tblGrid>
      <w:tr>
        <w:trPr/>
        <w:tc>
          <w:tcPr>
            <w:tcW w:w="155" w:type="dxa"/>
            <w:tcBorders/>
            <w:vAlign w:val="center"/>
          </w:tcPr>
          <w:p>
            <w:pPr>
              <w:pStyle w:val="TableContents"/>
              <w:bidi w:val="0"/>
              <w:spacing w:before="0" w:after="283"/>
              <w:jc w:val="left"/>
              <w:rPr>
                <w:b/>
              </w:rPr>
            </w:pPr>
            <w:r>
              <w:rPr>
                <w:b/>
              </w:rPr>
              <w:t>1</w:t>
            </w:r>
          </w:p>
        </w:tc>
        <w:tc>
          <w:tcPr>
            <w:tcW w:w="3785" w:type="dxa"/>
            <w:tcBorders/>
            <w:vAlign w:val="center"/>
          </w:tcPr>
          <w:p>
            <w:pPr>
              <w:pStyle w:val="TableContents"/>
              <w:bidi w:val="0"/>
              <w:spacing w:before="0" w:after="283"/>
              <w:jc w:val="both"/>
              <w:rPr/>
            </w:pPr>
            <w:r>
              <w:rPr>
                <w:b/>
              </w:rPr>
              <w:t>GENERAL INFORMATION</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Company and its subsidiaries (collectively, the “Group”) are shown in the table below:</w:t>
      </w:r>
    </w:p>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4"/>
        <w:gridCol w:w="60"/>
        <w:gridCol w:w="1486"/>
        <w:gridCol w:w="60"/>
        <w:gridCol w:w="139"/>
        <w:gridCol w:w="757"/>
        <w:gridCol w:w="77"/>
        <w:gridCol w:w="77"/>
        <w:gridCol w:w="139"/>
        <w:gridCol w:w="758"/>
        <w:gridCol w:w="60"/>
        <w:gridCol w:w="60"/>
        <w:gridCol w:w="1431"/>
        <w:gridCol w:w="60"/>
        <w:gridCol w:w="3677"/>
      </w:tblGrid>
      <w:tr>
        <w:trPr/>
        <w:tc>
          <w:tcPr>
            <w:tcW w:w="136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Percentage of effective </w:t>
              <w:br/>
              <w:t>equity interest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77" w:type="dxa"/>
            <w:tcBorders/>
            <w:vAlign w:val="center"/>
          </w:tcPr>
          <w:p>
            <w:pPr>
              <w:pStyle w:val="TableContents"/>
              <w:bidi w:val="0"/>
              <w:spacing w:before="0" w:after="283"/>
              <w:ind w:left="0" w:right="0" w:hanging="180"/>
              <w:jc w:val="left"/>
              <w:rPr/>
            </w:pPr>
            <w:r>
              <w:rPr/>
              <w:t> </w:t>
            </w:r>
          </w:p>
        </w:tc>
      </w:tr>
      <w:tr>
        <w:trPr/>
        <w:tc>
          <w:tcPr>
            <w:tcW w:w="1364"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486"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Date of </w:t>
              <w:br/>
              <w:t>incorporation</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Place of </w:t>
              <w:br/>
              <w:t>incorporation</w:t>
            </w:r>
          </w:p>
        </w:tc>
        <w:tc>
          <w:tcPr>
            <w:tcW w:w="60" w:type="dxa"/>
            <w:tcBorders/>
            <w:vAlign w:val="center"/>
          </w:tcPr>
          <w:p>
            <w:pPr>
              <w:pStyle w:val="TableContents"/>
              <w:bidi w:val="0"/>
              <w:spacing w:before="0" w:after="283"/>
              <w:jc w:val="left"/>
              <w:rPr/>
            </w:pPr>
            <w:r>
              <w:rPr/>
              <w:t> </w:t>
            </w:r>
          </w:p>
        </w:tc>
        <w:tc>
          <w:tcPr>
            <w:tcW w:w="3677"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Principal activities</w:t>
            </w:r>
          </w:p>
        </w:tc>
      </w:tr>
      <w:tr>
        <w:trPr/>
        <w:tc>
          <w:tcPr>
            <w:tcW w:w="1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b/>
              </w:rPr>
            </w:pPr>
            <w:r>
              <w:rPr>
                <w:b/>
              </w:rPr>
              <w: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77" w:type="dxa"/>
            <w:tcBorders/>
            <w:vAlign w:val="center"/>
          </w:tcPr>
          <w:p>
            <w:pPr>
              <w:pStyle w:val="TableContents"/>
              <w:bidi w:val="0"/>
              <w:spacing w:before="0" w:after="283"/>
              <w:ind w:left="0" w:right="0" w:hanging="180"/>
              <w:jc w:val="left"/>
              <w:rPr/>
            </w:pPr>
            <w:r>
              <w:rPr/>
              <w:t> </w:t>
            </w:r>
          </w:p>
        </w:tc>
      </w:tr>
      <w:tr>
        <w:trPr/>
        <w:tc>
          <w:tcPr>
            <w:tcW w:w="1364" w:type="dxa"/>
            <w:tcBorders/>
            <w:shd w:fill="CCEEFF" w:val="clear"/>
            <w:vAlign w:val="center"/>
          </w:tcPr>
          <w:p>
            <w:pPr>
              <w:pStyle w:val="TableContents"/>
              <w:bidi w:val="0"/>
              <w:spacing w:before="0" w:after="283"/>
              <w:jc w:val="left"/>
              <w:rPr/>
            </w:pPr>
            <w:r>
              <w:rPr/>
              <w:t>Ultratrex Inc</w:t>
            </w:r>
          </w:p>
        </w:tc>
        <w:tc>
          <w:tcPr>
            <w:tcW w:w="60"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center"/>
              <w:rPr/>
            </w:pPr>
            <w:r>
              <w:rPr/>
              <w:t>August 15, 2024</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center"/>
              <w:rPr/>
            </w:pPr>
            <w:r>
              <w:rPr/>
              <w:t>Cayman Islands</w:t>
            </w:r>
          </w:p>
        </w:tc>
        <w:tc>
          <w:tcPr>
            <w:tcW w:w="60" w:type="dxa"/>
            <w:tcBorders/>
            <w:shd w:fill="CCEEFF" w:val="clear"/>
            <w:vAlign w:val="center"/>
          </w:tcPr>
          <w:p>
            <w:pPr>
              <w:pStyle w:val="TableContents"/>
              <w:bidi w:val="0"/>
              <w:spacing w:before="0" w:after="283"/>
              <w:jc w:val="left"/>
              <w:rPr/>
            </w:pPr>
            <w:r>
              <w:rPr/>
              <w:t> </w:t>
            </w:r>
          </w:p>
        </w:tc>
        <w:tc>
          <w:tcPr>
            <w:tcW w:w="3677" w:type="dxa"/>
            <w:tcBorders/>
            <w:shd w:fill="CCEEFF" w:val="clear"/>
            <w:vAlign w:val="center"/>
          </w:tcPr>
          <w:p>
            <w:pPr>
              <w:pStyle w:val="TableContents"/>
              <w:bidi w:val="0"/>
              <w:spacing w:before="0" w:after="283"/>
              <w:ind w:left="0" w:right="0" w:hanging="180"/>
              <w:jc w:val="left"/>
              <w:rPr/>
            </w:pPr>
            <w:r>
              <w:rPr/>
              <w:t>Holding company</w:t>
            </w:r>
          </w:p>
        </w:tc>
      </w:tr>
      <w:tr>
        <w:trPr/>
        <w:tc>
          <w:tcPr>
            <w:tcW w:w="1364" w:type="dxa"/>
            <w:tcBorders/>
            <w:shd w:fill="FFFFFF" w:val="clear"/>
            <w:vAlign w:val="center"/>
          </w:tcPr>
          <w:p>
            <w:pPr>
              <w:pStyle w:val="TableContents"/>
              <w:bidi w:val="0"/>
              <w:spacing w:before="0" w:after="283"/>
              <w:jc w:val="left"/>
              <w:rPr/>
            </w:pPr>
            <w:r>
              <w:rPr/>
              <w:t>Ultratrex Asia Pacific Pte. Ltd.</w:t>
            </w:r>
          </w:p>
        </w:tc>
        <w:tc>
          <w:tcPr>
            <w:tcW w:w="60"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July 3, 2024</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100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pPr>
            <w:r>
              <w:rPr/>
              <w:t>Singapore</w:t>
            </w:r>
          </w:p>
        </w:tc>
        <w:tc>
          <w:tcPr>
            <w:tcW w:w="60" w:type="dxa"/>
            <w:tcBorders/>
            <w:shd w:fill="FFFFFF" w:val="clear"/>
            <w:vAlign w:val="center"/>
          </w:tcPr>
          <w:p>
            <w:pPr>
              <w:pStyle w:val="TableContents"/>
              <w:bidi w:val="0"/>
              <w:spacing w:before="0" w:after="283"/>
              <w:jc w:val="left"/>
              <w:rPr/>
            </w:pPr>
            <w:r>
              <w:rPr/>
              <w:t> </w:t>
            </w:r>
          </w:p>
        </w:tc>
        <w:tc>
          <w:tcPr>
            <w:tcW w:w="3677" w:type="dxa"/>
            <w:tcBorders/>
            <w:shd w:fill="FFFFFF" w:val="clear"/>
            <w:vAlign w:val="center"/>
          </w:tcPr>
          <w:p>
            <w:pPr>
              <w:pStyle w:val="TableContents"/>
              <w:bidi w:val="0"/>
              <w:spacing w:before="0" w:after="283"/>
              <w:ind w:left="0" w:right="0" w:hanging="180"/>
              <w:jc w:val="left"/>
              <w:rPr/>
            </w:pPr>
            <w:r>
              <w:rPr/>
              <w:t>Holding company</w:t>
            </w:r>
          </w:p>
        </w:tc>
      </w:tr>
      <w:tr>
        <w:trPr/>
        <w:tc>
          <w:tcPr>
            <w:tcW w:w="1364" w:type="dxa"/>
            <w:tcBorders/>
            <w:shd w:fill="CCEEFF" w:val="clear"/>
            <w:vAlign w:val="center"/>
          </w:tcPr>
          <w:p>
            <w:pPr>
              <w:pStyle w:val="TableContents"/>
              <w:bidi w:val="0"/>
              <w:spacing w:before="0" w:after="283"/>
              <w:jc w:val="left"/>
              <w:rPr/>
            </w:pPr>
            <w:r>
              <w:rPr/>
              <w:t>Ultratrex Machinery Sdn. Bhd.</w:t>
            </w:r>
          </w:p>
        </w:tc>
        <w:tc>
          <w:tcPr>
            <w:tcW w:w="60"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center"/>
              <w:rPr/>
            </w:pPr>
            <w:r>
              <w:rPr/>
              <w:t>September 17, 2008</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center"/>
              <w:rPr/>
            </w:pPr>
            <w:r>
              <w:rPr/>
              <w:t>Malaysia</w:t>
            </w:r>
          </w:p>
        </w:tc>
        <w:tc>
          <w:tcPr>
            <w:tcW w:w="60" w:type="dxa"/>
            <w:tcBorders/>
            <w:shd w:fill="CCEEFF" w:val="clear"/>
            <w:vAlign w:val="center"/>
          </w:tcPr>
          <w:p>
            <w:pPr>
              <w:pStyle w:val="TableContents"/>
              <w:bidi w:val="0"/>
              <w:spacing w:before="0" w:after="283"/>
              <w:jc w:val="left"/>
              <w:rPr/>
            </w:pPr>
            <w:r>
              <w:rPr/>
              <w:t> </w:t>
            </w:r>
          </w:p>
        </w:tc>
        <w:tc>
          <w:tcPr>
            <w:tcW w:w="3677" w:type="dxa"/>
            <w:tcBorders/>
            <w:shd w:fill="CCEEFF" w:val="clear"/>
            <w:vAlign w:val="center"/>
          </w:tcPr>
          <w:p>
            <w:pPr>
              <w:pStyle w:val="TableContents"/>
              <w:bidi w:val="0"/>
              <w:spacing w:before="0" w:after="283"/>
              <w:ind w:left="0" w:right="0" w:hanging="180"/>
              <w:jc w:val="left"/>
              <w:rPr/>
            </w:pPr>
            <w:r>
              <w:rPr/>
              <w:t>Manufacturing, trading and leasing of all kinds of hydraulic cranes, related heavy machineries and spare parts</w:t>
            </w:r>
          </w:p>
        </w:tc>
      </w:tr>
      <w:tr>
        <w:trPr/>
        <w:tc>
          <w:tcPr>
            <w:tcW w:w="1364" w:type="dxa"/>
            <w:tcBorders/>
            <w:shd w:fill="FFFFFF" w:val="clear"/>
            <w:vAlign w:val="center"/>
          </w:tcPr>
          <w:p>
            <w:pPr>
              <w:pStyle w:val="TableContents"/>
              <w:bidi w:val="0"/>
              <w:spacing w:before="0" w:after="283"/>
              <w:jc w:val="left"/>
              <w:rPr/>
            </w:pPr>
            <w:r>
              <w:rPr/>
              <w:t>PT Ultratrex Indonesia</w:t>
            </w:r>
          </w:p>
        </w:tc>
        <w:tc>
          <w:tcPr>
            <w:tcW w:w="60"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August 23, 2010</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99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pPr>
            <w:r>
              <w:rPr/>
              <w:t>Indonesia</w:t>
            </w:r>
          </w:p>
        </w:tc>
        <w:tc>
          <w:tcPr>
            <w:tcW w:w="60" w:type="dxa"/>
            <w:tcBorders/>
            <w:shd w:fill="FFFFFF" w:val="clear"/>
            <w:vAlign w:val="center"/>
          </w:tcPr>
          <w:p>
            <w:pPr>
              <w:pStyle w:val="TableContents"/>
              <w:bidi w:val="0"/>
              <w:spacing w:before="0" w:after="283"/>
              <w:jc w:val="left"/>
              <w:rPr/>
            </w:pPr>
            <w:r>
              <w:rPr/>
              <w:t> </w:t>
            </w:r>
          </w:p>
        </w:tc>
        <w:tc>
          <w:tcPr>
            <w:tcW w:w="3677" w:type="dxa"/>
            <w:tcBorders/>
            <w:shd w:fill="FFFFFF" w:val="clear"/>
            <w:vAlign w:val="center"/>
          </w:tcPr>
          <w:p>
            <w:pPr>
              <w:pStyle w:val="TableContents"/>
              <w:bidi w:val="0"/>
              <w:spacing w:before="0" w:after="283"/>
              <w:ind w:left="0" w:right="0" w:hanging="180"/>
              <w:jc w:val="left"/>
              <w:rPr/>
            </w:pPr>
            <w:r>
              <w:rPr/>
              <w:t>Manufacturing, trading and leasing of amphibious excavators, dredgers machineries and amphibious harvesters, leasing of all kinds of hydraulic cranes, related heavy machineries and spare parts</w:t>
            </w:r>
          </w:p>
        </w:tc>
      </w:tr>
      <w:tr>
        <w:trPr/>
        <w:tc>
          <w:tcPr>
            <w:tcW w:w="1364" w:type="dxa"/>
            <w:tcBorders/>
            <w:shd w:fill="CCEEFF" w:val="clear"/>
            <w:vAlign w:val="center"/>
          </w:tcPr>
          <w:p>
            <w:pPr>
              <w:pStyle w:val="TableContents"/>
              <w:bidi w:val="0"/>
              <w:spacing w:before="0" w:after="283"/>
              <w:jc w:val="left"/>
              <w:rPr/>
            </w:pPr>
            <w:r>
              <w:rPr/>
              <w:t>PT Ultratrex Machinery Indonesia</w:t>
            </w:r>
          </w:p>
        </w:tc>
        <w:tc>
          <w:tcPr>
            <w:tcW w:w="60"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center"/>
              <w:rPr/>
            </w:pPr>
            <w:r>
              <w:rPr/>
              <w:t>October 20, 2022</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99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1" w:type="dxa"/>
            <w:tcBorders/>
            <w:shd w:fill="CCEEFF" w:val="clear"/>
            <w:vAlign w:val="center"/>
          </w:tcPr>
          <w:p>
            <w:pPr>
              <w:pStyle w:val="TableContents"/>
              <w:bidi w:val="0"/>
              <w:spacing w:before="0" w:after="283"/>
              <w:jc w:val="center"/>
              <w:rPr/>
            </w:pPr>
            <w:r>
              <w:rPr/>
              <w:t>Indonesia</w:t>
            </w:r>
          </w:p>
        </w:tc>
        <w:tc>
          <w:tcPr>
            <w:tcW w:w="60" w:type="dxa"/>
            <w:tcBorders/>
            <w:shd w:fill="CCEEFF" w:val="clear"/>
            <w:vAlign w:val="center"/>
          </w:tcPr>
          <w:p>
            <w:pPr>
              <w:pStyle w:val="TableContents"/>
              <w:bidi w:val="0"/>
              <w:spacing w:before="0" w:after="283"/>
              <w:jc w:val="left"/>
              <w:rPr/>
            </w:pPr>
            <w:r>
              <w:rPr/>
              <w:t> </w:t>
            </w:r>
          </w:p>
        </w:tc>
        <w:tc>
          <w:tcPr>
            <w:tcW w:w="3677" w:type="dxa"/>
            <w:tcBorders/>
            <w:shd w:fill="CCEEFF" w:val="clear"/>
            <w:vAlign w:val="center"/>
          </w:tcPr>
          <w:p>
            <w:pPr>
              <w:pStyle w:val="TableContents"/>
              <w:bidi w:val="0"/>
              <w:spacing w:before="0" w:after="283"/>
              <w:ind w:left="0" w:right="0" w:hanging="180"/>
              <w:jc w:val="left"/>
              <w:rPr/>
            </w:pPr>
            <w:r>
              <w:rPr/>
              <w:t>Manufacturing, trading and leasing of amphibious excavators, dredgers machineries and amphibious harvesters</w:t>
            </w:r>
          </w:p>
        </w:tc>
      </w:tr>
      <w:tr>
        <w:trPr/>
        <w:tc>
          <w:tcPr>
            <w:tcW w:w="1364" w:type="dxa"/>
            <w:tcBorders/>
            <w:shd w:fill="FFFFFF" w:val="clear"/>
            <w:vAlign w:val="center"/>
          </w:tcPr>
          <w:p>
            <w:pPr>
              <w:pStyle w:val="TableContents"/>
              <w:bidi w:val="0"/>
              <w:spacing w:before="0" w:after="283"/>
              <w:jc w:val="left"/>
              <w:rPr/>
            </w:pPr>
            <w:r>
              <w:rPr/>
              <w:t>Ultratrex Co., Ltd.</w:t>
            </w:r>
          </w:p>
        </w:tc>
        <w:tc>
          <w:tcPr>
            <w:tcW w:w="60"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pPr>
            <w:r>
              <w:rPr/>
              <w:t>January 27, 2015</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100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center"/>
              <w:rPr/>
            </w:pPr>
            <w:r>
              <w:rPr/>
              <w:t>Japan</w:t>
            </w:r>
          </w:p>
        </w:tc>
        <w:tc>
          <w:tcPr>
            <w:tcW w:w="60" w:type="dxa"/>
            <w:tcBorders/>
            <w:shd w:fill="FFFFFF" w:val="clear"/>
            <w:vAlign w:val="center"/>
          </w:tcPr>
          <w:p>
            <w:pPr>
              <w:pStyle w:val="TableContents"/>
              <w:bidi w:val="0"/>
              <w:spacing w:before="0" w:after="283"/>
              <w:jc w:val="left"/>
              <w:rPr/>
            </w:pPr>
            <w:r>
              <w:rPr/>
              <w:t> </w:t>
            </w:r>
          </w:p>
        </w:tc>
        <w:tc>
          <w:tcPr>
            <w:tcW w:w="3677" w:type="dxa"/>
            <w:tcBorders/>
            <w:shd w:fill="FFFFFF" w:val="clear"/>
            <w:vAlign w:val="center"/>
          </w:tcPr>
          <w:p>
            <w:pPr>
              <w:pStyle w:val="TableContents"/>
              <w:bidi w:val="0"/>
              <w:spacing w:before="0" w:after="283"/>
              <w:jc w:val="left"/>
              <w:rPr/>
            </w:pPr>
            <w:r>
              <w:rPr/>
              <w:t>Import and export of heavy machineries and related business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involved in manufacturing, trading and leasing of amphibious excavators, dredgers machineries and amphibious harvesters, leasing of all kinds of hydraulic cranes, related heavy machineries and spares parts primarily through Ultratrex Machinery Sdn. Bhd. (“UMSB”) and PT Ultratrex Indonesia.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UMSB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reorganization begins with UMSB, which was under common control of Mr. Salim Podiono (“Mr. Salim”), Mr. Halim Podiono (“Mr. Halim”), Mr. Nursalim Podiono (“Mr. Nursalim”), Mr. Taslim Podiono (“Mr. Taslim”) (each a “Concert Party” and collectively the “Concert Parties”) each holding 20% of the equity interest in UMSB. Mr. Wong Kok Seng (“Mr. Wong”) owned the remaining 20% of the equity interest. On December 6, 2023, Mr. Halim transferred his 20% equity interest to Mr. Salim. Notwithstanding the transfer, the Group determined that common control of UMSB remain unchanged based on the following factors: (i) after the transfer, Mr. Salim, Mr. Nursalim and Mr. Taslim collectively held 80% of the equity interest in UMSB, and these three parties along with Mr. Halim have consistently acted and continued to act in alignment with one another on key business and operational decisions of UMSB, (ii) Mr. Halim remained actively involved in the overall management of the Group and continued to influence key business and operational decisions, including those of UMSB, through his roles as director at UMSB and Ultratrex Indonesia, and his close working relationship with the remaining shareholders of UMSB. Accordingly, based on the aligned direction and control historically exercised by this group of individuals and Mr. Halim’s continued involvement in key business and operational decisions, the Group determined that following the transfer of Mr. Halim’s 20% equity interest in UMSB to Mr. Salim, UMSB remained in common control with the other Group entities which Mr. Halim holds a controlling equity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55"/>
        <w:gridCol w:w="3785"/>
      </w:tblGrid>
      <w:tr>
        <w:trPr/>
        <w:tc>
          <w:tcPr>
            <w:tcW w:w="155" w:type="dxa"/>
            <w:tcBorders/>
            <w:vAlign w:val="center"/>
          </w:tcPr>
          <w:p>
            <w:pPr>
              <w:pStyle w:val="TableContents"/>
              <w:bidi w:val="0"/>
              <w:spacing w:before="0" w:after="283"/>
              <w:jc w:val="left"/>
              <w:rPr>
                <w:b/>
              </w:rPr>
            </w:pPr>
            <w:r>
              <w:rPr>
                <w:b/>
              </w:rPr>
              <w:t>1</w:t>
            </w:r>
          </w:p>
        </w:tc>
        <w:tc>
          <w:tcPr>
            <w:tcW w:w="3785" w:type="dxa"/>
            <w:tcBorders/>
            <w:vAlign w:val="center"/>
          </w:tcPr>
          <w:p>
            <w:pPr>
              <w:pStyle w:val="TableContents"/>
              <w:bidi w:val="0"/>
              <w:spacing w:before="0" w:after="283"/>
              <w:jc w:val="both"/>
              <w:rPr/>
            </w:pPr>
            <w:r>
              <w:rPr>
                <w:b/>
              </w:rPr>
              <w:t>GENERAL INFORMATION</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of PT Ultratrex Machinery Indonesia (“PT UMI”)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2022, PT UMI was incorporated in Indonesia by Mr. Wong and Mr. Chua Kok Guan, who held 99% and 1% of the equity interest in PT UMI, respectively. The incorporation and ownership structure were carried out pursuant to a mandate in the form of a written agreement dated October 18, 2022, between UMSB and Mr. Wong (the “Mandate”), under which Mr. Wong was expressly appointed and authorized by UMSB to incorporate PT UMI and to hold 99% of the equity interest in his personal capacity solely for and on behalf of UMSB. The Mandate further provided that Mr. Wong would transfer his entire equity interest in PT UMI to UMSB or its designee upon request, and no consideration was payable between the parties in respect of such transfer. The cost of investment of approximately RM3.0 million required to incorporate PT UMI was to be borne by UMSB.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 facto control by the Group</w:t>
      </w: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over PT UMI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UMSB did not hold the majority of the voting rights in PT UMI during the period from its incorporation to April 1, 2024, the Group, which was assessed to be under common control of Mr. Salim, Mr. Halim, Mr. Nursalim, Mr. Taslim and Mr. Wong, determined that it had de facto control over PT UMI from the time of incorporation and consolidated it as a subsidiary of UMSB from such date. The Group was deemed to have had the power to govern PT UMI’s financial and operating policies and obtain benefits from its activities based on the following factors: (i) Mr. Wong held his 99% equity interest solely as a nominee pursuant to the Mandate and did not contribute capital or assume economic risk; (ii) UMSB funded the full cost of incorporation and bore the financial risks and rewards associated with PT UMI’s activities; (iii) pursuant to the Mandate, Mr. Wong was contractually obligated to transfer all of his shares in PT UMI to UMSB or its designee upon request, and he held such shares solely for the benefit of UMSB, which limited his discretion and reinforced UMSB’s practical ability to direct the relevant activities of PT UMI and to affect returns from such activities; and (iv) there is no history or arrangement under which Mr. Wong collaborated with any non-controlling interests or exercised voting rights independently of UMSB. Furthermore, PT UMI had minimal business operations from the time of its incorporation until April 1, 2024, when Mr. Wong formally surrendered his 99% equity interest to UMSB in accordance with the Mandate. The cost of investment was subsequently repaid to Mr. Wong at book value in conjunction with the share transfer. Accordingly, PT UMI has been consolidated as a subsidiary of UMSB from the date of its incorporation.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PT Ultratrex Indonesia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23, 2010, PT Ultratrex Indonesia was incorporated by Mr. Halim, Ms. Selvia and Mr. Jalu with 98% of the equity interest held by Mr. Halim and 1% of the equity interest held by each Ms. Selvia and Mr. Jalu. The Group</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determined that it had de facto control of PT Ultratrex Indonesia even though it owned less than 50% of the voting rights. This is because the Group is considered to exercise common control over PT Ultratrex Indonesia with a deemed 98% equity interest through Mr. Halim. The Group made this assessment based on the following factors: (i) there is no history of Mr. Halim collaborating with non-controlling interests to exercise their votes collectively or to outvote the Group, (ii) Mr. Halim’s decisions with respect to PT Ultratrex Indonesia have historically been aligned with and guided by the strategic objectives of the Group and (iii) the Group has provided operational and managerial support to PT Ultratrex Indonesia, and the day-to-day operations of PT Ultratrex Indonesia have been closely coordinated with other entities within the Group. On March 26, 2024, Mr. Jalu transferred 1% of equity interest to Mr. Halim. As a result, the deemed equity interest of the Group in PT Ultratrex Indonesia increased from 98% to 99%.</w:t>
      </w:r>
    </w:p>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1</w:t>
            </w:r>
          </w:p>
        </w:tc>
        <w:tc>
          <w:tcPr>
            <w:tcW w:w="10050" w:type="dxa"/>
            <w:tcBorders/>
            <w:vAlign w:val="center"/>
          </w:tcPr>
          <w:p>
            <w:pPr>
              <w:pStyle w:val="TableContents"/>
              <w:bidi w:val="0"/>
              <w:spacing w:before="0" w:after="283"/>
              <w:jc w:val="both"/>
              <w:rPr>
                <w:i/>
              </w:rPr>
            </w:pPr>
            <w:r>
              <w:rPr>
                <w:i/>
              </w:rPr>
              <w:t>Although PT UMI is included within the definition of the “Group”, such inclusion reflects the Group’s determination that it had de facto control over PT UMI from the time of its incorporation. Accordingly references to the Group include PT UMI only after such control was assessed to exist for consolidation purposes.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2</w:t>
            </w:r>
          </w:p>
        </w:tc>
        <w:tc>
          <w:tcPr>
            <w:tcW w:w="10050" w:type="dxa"/>
            <w:tcBorders/>
            <w:vAlign w:val="center"/>
          </w:tcPr>
          <w:p>
            <w:pPr>
              <w:pStyle w:val="TableContents"/>
              <w:bidi w:val="0"/>
              <w:spacing w:before="0" w:after="283"/>
              <w:jc w:val="both"/>
              <w:rPr>
                <w:i/>
              </w:rPr>
            </w:pPr>
            <w:r>
              <w:rPr>
                <w:i/>
              </w:rPr>
              <w:t>Although PT Ultratrex Indonesia is included within the definition of the “Group”, such inclusion reflects the Group’s determination that it had de facto control over PT Ultratrex Indonesia from the time of its incorporation. Accordingly references to the Group include PT Ultratrex Indonesia only after such control was assessed to exist for consolidation purposes.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55"/>
        <w:gridCol w:w="3785"/>
      </w:tblGrid>
      <w:tr>
        <w:trPr/>
        <w:tc>
          <w:tcPr>
            <w:tcW w:w="155" w:type="dxa"/>
            <w:tcBorders/>
            <w:vAlign w:val="center"/>
          </w:tcPr>
          <w:p>
            <w:pPr>
              <w:pStyle w:val="TableContents"/>
              <w:bidi w:val="0"/>
              <w:spacing w:before="0" w:after="283"/>
              <w:jc w:val="left"/>
              <w:rPr>
                <w:b/>
              </w:rPr>
            </w:pPr>
            <w:r>
              <w:rPr>
                <w:b/>
              </w:rPr>
              <w:t>1</w:t>
            </w:r>
          </w:p>
        </w:tc>
        <w:tc>
          <w:tcPr>
            <w:tcW w:w="3785" w:type="dxa"/>
            <w:tcBorders/>
            <w:vAlign w:val="center"/>
          </w:tcPr>
          <w:p>
            <w:pPr>
              <w:pStyle w:val="TableContents"/>
              <w:bidi w:val="0"/>
              <w:spacing w:before="0" w:after="283"/>
              <w:jc w:val="both"/>
              <w:rPr/>
            </w:pPr>
            <w:r>
              <w:rPr>
                <w:b/>
              </w:rPr>
              <w:t>GENERAL INFORMATION</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Ultratrex Co.,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2015, Ultratrex Co., Ltd was incorporated by Mr. Halim with 100% of equity interest being held by Ultrator Co., Ltd. Ultrator Co., Ltd is owned by Mr. Halim and Mr. Yoshio Irie with 90% and 10% of the equity interest, respectively. The Group</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determined that it had de facto control of Ultratrex Co., Ltd even though it owned less than 50% of the voting rights. This is because the Group is considered to exercise common control over Ultratrex Co., Ltd with a deemed 100% equity interest through Mr. Halim’s majority ownership and effective control of Ultrator Co., Ltd.</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The Group made this assessment based on the following factors: (i) there is no history of Mr. Halim collaborating with non-controlling shareholders of Ultrator Co., Ltd to outvote the Group and influence Ultrator Co., Ltd’s exercise of voting rights in Ultratrex Co., Ltd, (ii) Mr. Halim’s decisions with respect to Ultrator Co., Ltd and Ultratrex Co., Ltd have historically been aligned with and guided by the strategic objectives of the Group and (iii) the Group has provided operational and managerial support to Ultratrex Co., Ltd, and the day-to-day operations of Ultratrex Co., Ltd have been closely coordinated with other entities within the Group. Subsequently on November 29, 2024, as part of the reorganization, Ultratrex Singapore acquired 100% of equity interest in Ultratrex Co., Ltd from Ultrator Co.,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of Ultratrex Singapore and the Ultratrex Singapore AIC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2024, Ultratrex Singapore was incorporated by Mr. Salim, Mr. Halim, Mr. Nursalim, Mr. Taslim and Mr. Wong with 20% of the equity interest each. Upon the incorporation of Ultratrex Singapore, the Concert Parties entered into an Acting-in-Concert Agreement dated July 3, 2024 (the “Ultratrex Singapore AIC Agreement”) to exercise their votes as actors in concert.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Ultratrex Singapore AIC Agreement, the Concert Parties were contractually obligated to act in concert and make joint decisions on all matters that require the decisions of the shareholders of Ultratrex Singapore. Under the constitution of Ultratrex Singapore, such matters requiring the decisions of shareholders include: approving any amendments to the company’s constitution; authorizing any alteration of the company’s share capital, including increases, consolidations, sub-divisions, conversions, cancellations or reductions; issuing redeemable preference shares; appointing or removing directors at a general meeting; approving the variation or abrogation of rights attaching to any class of shares; appointing and removing auditors and approving their remuneration; declaring dividends; and any other matter expressly reserved for determination by the members under the Singapore Companies Act 1967 or the constitution of the company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Ultratrex Singapore AIC Agreement provided that the Concert Parties shall consult with each other and vote among themselves on such matters, with each Concert Party entitled to one (1) vote, regardless of their respective shareholdings in Ultratrex Singapore. If the vote results in a unanimous decision between the Concert Parties, joint action shall be taken accordingly based on the outcome of such vote. However, in the event that the Concert Parties are unable to reach a unanimous decision in relation to any matter that requires action in concert, a decision that is made by Mr. Halim shall be deemed to represent the decision of all Concert Parties and shall be binding on all Concert Parties, and each Concert Party shall act in concert with other Concert Parties and take joint action based on the results of such decision. Accordingly, under the Ultratrex Singapore AIC Agreement, Mr. Halim exercised de facto control over Ultratrex Singapore. There was no consideration exchanged among the shareholders in connection with the formation of the Concert Parties and execution of the Ultratrex Singapore AIC Agreement. The Ultratrex Singapore AIC Agreement remained in force until only one Concert Party remained a shareholder, and therefore the Ultratrex Singapore AIC Agreement came to an end on June 30, 2025 upon the acquisition by Ultratrex Inc. of 100% of Ultratrex Singapore as part of the reorganization of the Group.</w:t>
      </w:r>
    </w:p>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3</w:t>
            </w:r>
          </w:p>
        </w:tc>
        <w:tc>
          <w:tcPr>
            <w:tcW w:w="10050" w:type="dxa"/>
            <w:tcBorders/>
            <w:vAlign w:val="center"/>
          </w:tcPr>
          <w:p>
            <w:pPr>
              <w:pStyle w:val="TableContents"/>
              <w:bidi w:val="0"/>
              <w:spacing w:before="0" w:after="283"/>
              <w:jc w:val="both"/>
              <w:rPr>
                <w:i/>
              </w:rPr>
            </w:pPr>
            <w:r>
              <w:rPr>
                <w:i/>
              </w:rPr>
              <w:t>Although Ultratrex Co., Ltd is included within the definition of the “Group”, such inclusion reflects the Group’s determination that it had de facto control over Ultratrex Co., Ltd from the time of its incorporation. Accordingly references to the Group include Ultratrex Co., Ltd only after such control was assessed to exist for consolidation purposes.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4</w:t>
            </w:r>
          </w:p>
        </w:tc>
        <w:tc>
          <w:tcPr>
            <w:tcW w:w="10050" w:type="dxa"/>
            <w:tcBorders/>
            <w:vAlign w:val="center"/>
          </w:tcPr>
          <w:p>
            <w:pPr>
              <w:pStyle w:val="TableContents"/>
              <w:bidi w:val="0"/>
              <w:spacing w:before="0" w:after="283"/>
              <w:jc w:val="both"/>
              <w:rPr>
                <w:i/>
              </w:rPr>
            </w:pPr>
            <w:r>
              <w:rPr>
                <w:i/>
              </w:rPr>
              <w:t>Mr. Halim holds 90% of Ultrator Co., Ltd., which owns 100% of Ultratrex Co., Ltd. Through his majority ownership of Ultrator Co., Ltd., Mr. Halim has effective control over its decisions, including the disposal of shares in Ultratrex Co., Ltd. As such, he may be deemed to hold a 100% equity interest in Ultratrex Co., Ltd. for control and consolidation purposes.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55"/>
        <w:gridCol w:w="3785"/>
      </w:tblGrid>
      <w:tr>
        <w:trPr/>
        <w:tc>
          <w:tcPr>
            <w:tcW w:w="155" w:type="dxa"/>
            <w:tcBorders/>
            <w:vAlign w:val="center"/>
          </w:tcPr>
          <w:p>
            <w:pPr>
              <w:pStyle w:val="TableContents"/>
              <w:bidi w:val="0"/>
              <w:spacing w:before="0" w:after="283"/>
              <w:jc w:val="left"/>
              <w:rPr>
                <w:b/>
              </w:rPr>
            </w:pPr>
            <w:r>
              <w:rPr>
                <w:b/>
              </w:rPr>
              <w:t>1</w:t>
            </w:r>
          </w:p>
        </w:tc>
        <w:tc>
          <w:tcPr>
            <w:tcW w:w="3785" w:type="dxa"/>
            <w:tcBorders/>
            <w:vAlign w:val="center"/>
          </w:tcPr>
          <w:p>
            <w:pPr>
              <w:pStyle w:val="TableContents"/>
              <w:bidi w:val="0"/>
              <w:spacing w:before="0" w:after="283"/>
              <w:jc w:val="both"/>
              <w:rPr/>
            </w:pPr>
            <w:r>
              <w:rPr>
                <w:b/>
              </w:rPr>
              <w:t>GENERAL INFORMATION</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of Ulratrex Inc. and the Ultratrex Cayman AIC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2024, Ultratrex Inc. was incorporated, with Mr. Halim holding 100% of the issued and outstanding Ordinary Shares of the Company, consisting only of Class B Shares at the time of incorporation. Upon the incorporation of Ultratrex Inc., the Concert Parties entered into another acting-in-concert agreement dated August 15, 2024, in substantially the same form and with the same material terms as the Ultratrex Singapore AIC Agreement, to exercise their votes as actors in concert in relation to Ultratrex Inc. (the “Ultratrex Cayman AIC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Ultratrex Cayman AIC Agreement, the Concert Parties are contractually obligated to act in concert and make joint decisions on all matters that require the decisions of the shareholders of the Company. Under the Company’s Memorandum and Articles of Association, such matters requiring the decisions of shareholders of the Company include: approving any amendments to the Company’s Memorandum and Articles of Association; authorizing any alteration of the Company’s share capital, including increases, consolidations, sub-divisions or cancellations; appointing or removing Directors at a general meeting, including in circumstances where there are insufficient Directors; approving the winding up or liquidation of the Company and the distribution of assets on a winding up; approving any variation or abrogation of the rights attaching to any class of shares; appointing and removing auditors; declaring dividends and approving other distributions (subject to the recommendation of the board of Directors); and any other matter expressly reserved for determination by the Members under the Cayman Islands Companies Act or the Articles of Association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Concert Parties are required to vote and act in concert in the same manner as the Ultratrex Singapore AIC Agreement, including that in the event that the Concert Parties are unable to reach a unanimous decision in relation to any matter that requires action in concert, a decision that is made by Mr. Halim shall be deemed to represent the decision of all Concert Parties and shall be binding on all Concert Parties. Accordingly, under the Ultratrex Cayman AIC Agreement, Mr. Halim exercised de facto control over the Company. There was no consideration exchanged among the shareholders in connection with the formation of the Concert Parties and execution of the Ultratrex Cayman AIC Agreement. The Ultratrex Cayman AIC Agreement remains in force until only one Concert Party remains a shareholder, and therefore the agreement will remain in force after both the acquisition of Ultratrex Inc. of Ultratrex Singapore and of the offering since the Concert Parties will continue to remain shareholders of Ultratrex Inc. Under the Ultratrex Cayman AIC Agreement, if any of the Concert Parties transfers its shares of the Company, as a prerequisite, unless waived in writing by all of the other Concert Parties, it shall ensure that the transferee is bound by the provisions of the Ultratrex Cayman AIC Agreement, and the transferee upon receiving the transfer of the shares shall be deemed as having agreed to the provisions of the Ultratrex Cayman AIC Agreement and having agreed to be bound by the provisions of the Ultratrex Cayman AIC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Swap and Reorganization of Ultratrex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UMSB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2024, Ultratrex Singapore entered into a share swap agreement to acquire 100% of the equity interest in UMSB from Mr. Salim, Mr. Taslim, Mr. Nursalim and Mr. Wong. On December 2, 2024, Ultratrex Singapore allocated 13,200,000 ordinary shares to Mr. Salim, Mr. Taslim, Mr. Nursalim and Mr. Wong. On January 6, 2025, Mr. Salim, Mr. Taslim, Mr. Nursalim and Mr. Wong transferred 100% of equity interest in UMSB to Ultratrex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PT Ultratrex Indonesia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Ultratrex Singapore entered into a share swap agreement to acquire 99% of the equity interest in PT Ultratrex Indonesia from Mr. Halim. On December 2, 2024, Ultratrex Singapore allocated 7,524,000 ordinary shares to Mr. Halim. On December 6, 2024, Mr. Halim transferred all of his equity interest in PT Ultratrex Indonesia to Ultratrex Singapore, and Ms. Selvia transferred 1% of hers to Mr. Halim. On December 12, 2024, Ultratrex Singapore and Mr. Halim subscribed for the issuance of 79,200 and 800 additional ordinary shares respectively. Following the issuance, the equity interest of Ultratrex Singapore and Mr. Halim in PT Ultratrex Indonesia remained unchanged at 99% and 1%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55"/>
        <w:gridCol w:w="3785"/>
      </w:tblGrid>
      <w:tr>
        <w:trPr/>
        <w:tc>
          <w:tcPr>
            <w:tcW w:w="155" w:type="dxa"/>
            <w:tcBorders/>
            <w:vAlign w:val="center"/>
          </w:tcPr>
          <w:p>
            <w:pPr>
              <w:pStyle w:val="TableContents"/>
              <w:bidi w:val="0"/>
              <w:spacing w:before="0" w:after="283"/>
              <w:jc w:val="left"/>
              <w:rPr>
                <w:b/>
              </w:rPr>
            </w:pPr>
            <w:r>
              <w:rPr>
                <w:b/>
              </w:rPr>
              <w:t>1</w:t>
            </w:r>
          </w:p>
        </w:tc>
        <w:tc>
          <w:tcPr>
            <w:tcW w:w="3785" w:type="dxa"/>
            <w:tcBorders/>
            <w:vAlign w:val="center"/>
          </w:tcPr>
          <w:p>
            <w:pPr>
              <w:pStyle w:val="TableContents"/>
              <w:bidi w:val="0"/>
              <w:spacing w:before="0" w:after="283"/>
              <w:jc w:val="both"/>
              <w:rPr/>
            </w:pPr>
            <w:r>
              <w:rPr>
                <w:b/>
              </w:rPr>
              <w:t>GENERAL INFORMATION</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Swap and Reorganization of Ultratrex Inc.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Ultratrex Inc. acquired 100% of equity interest in Ultratrex Singapore. The acquisition by Ultratrex Inc. of a 100% equity interest in Ultratrex Singapore will be accounted for as a business combination under common control, in accordance with the principles of IFRS 3 Business Combinations of entities under Common Control using the predecessor method, as permitted by the principles of IAS 8 Accounting Policies, Changes in Accounting Estimates and Errors. Under this method, the assets and liabilities of the acquired entities were recognized at their pre-acquisition carrying amounts and no goodwill was recognized. The difference between the purchase consideration and the net assets acquired was recorded in the merger reserve in equity. The comparative information was not restated and in line with the Group’s accounting policy for common control transactions, which aims to ensure consistency and reflect the continuity of interests. This accounting treatment is justified by the binding effect of both the Ultratrex Singapore AIC Agreement and Ultratrex Cayman AIC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acquisition by Ultratrex Inc. of Ultratrex Singapore, the four Concert Parties, Mr. Halim, Mr. Salim, Mr. Nursalim and Mr. Taslim, each held 20% equity interest in Ultratrex Singapore. Since the Ultratrex Singapore AIC Agreement was in effect then, Mr. Halim exercised de facto control over Ultratrex Singapore. Following the completion of the acquisition and share swap, Mr. Halim, Mr. Salim, Mr. Nursalim and Mr. Taslim each held 38%, 24%, 12% and 12% of the Class A Shares in Ultratrex Inc., respectively, with Mr. Halim holding 100% of the Class B Shares in Ultratrex Inc. As a result, Mr. Halim holds 92.2% of the total voting power of Ultratrex Inc. immediately prior to the offering and will hold 91.2% of the total voting power following the offering. The allocation of equity interests and voting rights in Ultratrex Inc. was determined by mutual agreement among the shareholders in connection with the reorganization of the Group. Since the Ultratrex Cayman AIC Agreement is in effect, Mr. Halim continues to exercise de facto control over Ultratrex Inc. after the acquisition and share swap. Accordingly, because of the Ultratrex Singapore AIC Agreement and Ultratrex Cayman AIC Agreement, Mr. Halim may be deemed to have maintained control over the Group throughout the acquisition and reorganization, and there has been no change in control as a result of the reorganization.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this, common control is deemed to have been in effect since the incorporation of each entity within the Group. The reorganization was completed on June 30, 2025. As a result of the reorganization, the Company became the holding company for a group of companies that will be referred to as the Group. Accordingly, the consolidated financial statements have been presented using the pooling of interest method whereby the Company is shown as if it had been the holding company from the beginning of the first reporting period presented because all the companies in the Group were under common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Surrender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the Company accepted the surrender of 3,750,000 Class A Shares (“Surrendered Shares”) at no consideration pursuant to Paragraph (1) of Section 37B of Part III of the Companies Act (As Revised) of the Cayman Islands and the Surrendered Shares have been cancelled upon surrendered. Following this, 15,000,000 Class A Shares and 5,000,000 Class B Shares remain issued and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subsidiaries that has non-controlling interests which are material to the consolidated financial statements as a whole.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Carrying value of non-controlling interests</w:t>
      </w:r>
    </w:p>
    <w:p>
      <w:pPr>
        <w:pStyle w:val="TextBody"/>
        <w:bidi w:val="0"/>
        <w:spacing w:before="0" w:after="0"/>
        <w:ind w:left="480" w:right="0" w:hanging="0"/>
        <w:jc w:val="both"/>
        <w:rPr>
          <w:caps w:val="false"/>
          <w:smallCaps w:val="false"/>
        </w:rPr>
      </w:pPr>
      <w:r>
        <w:rPr>
          <w:caps w:val="false"/>
          <w:smallCaps w:val="false"/>
        </w:rPr>
        <w:t> </w:t>
      </w:r>
    </w:p>
    <w:tbl>
      <w:tblPr>
        <w:tblW w:w="8270" w:type="dxa"/>
        <w:jc w:val="left"/>
        <w:tblInd w:w="0" w:type="dxa"/>
        <w:tblLayout w:type="fixed"/>
        <w:tblCellMar>
          <w:top w:w="0" w:type="dxa"/>
          <w:left w:w="0" w:type="dxa"/>
          <w:bottom w:w="0" w:type="dxa"/>
          <w:right w:w="0" w:type="dxa"/>
        </w:tblCellMar>
      </w:tblPr>
      <w:tblGrid>
        <w:gridCol w:w="5045"/>
        <w:gridCol w:w="60"/>
        <w:gridCol w:w="285"/>
        <w:gridCol w:w="665"/>
        <w:gridCol w:w="60"/>
        <w:gridCol w:w="60"/>
        <w:gridCol w:w="285"/>
        <w:gridCol w:w="665"/>
        <w:gridCol w:w="60"/>
        <w:gridCol w:w="60"/>
        <w:gridCol w:w="285"/>
        <w:gridCol w:w="665"/>
        <w:gridCol w:w="75"/>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5045" w:type="dxa"/>
            <w:tcBorders/>
            <w:shd w:fill="CCEEFF" w:val="clear"/>
            <w:vAlign w:val="center"/>
          </w:tcPr>
          <w:p>
            <w:pPr>
              <w:pStyle w:val="TableContents"/>
              <w:bidi w:val="0"/>
              <w:spacing w:before="0" w:after="283"/>
              <w:jc w:val="left"/>
              <w:rPr/>
            </w:pPr>
            <w:r>
              <w:rPr/>
              <w:t>Subsidiaries with immaterial non-controlling interests</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55"/>
        <w:gridCol w:w="6005"/>
      </w:tblGrid>
      <w:tr>
        <w:trPr/>
        <w:tc>
          <w:tcPr>
            <w:tcW w:w="155" w:type="dxa"/>
            <w:tcBorders/>
            <w:vAlign w:val="center"/>
          </w:tcPr>
          <w:p>
            <w:pPr>
              <w:pStyle w:val="TableContents"/>
              <w:bidi w:val="0"/>
              <w:spacing w:before="0" w:after="283"/>
              <w:jc w:val="left"/>
              <w:rPr>
                <w:b/>
              </w:rPr>
            </w:pPr>
            <w:r>
              <w:rPr>
                <w:b/>
              </w:rPr>
              <w:t>2</w:t>
            </w:r>
          </w:p>
        </w:tc>
        <w:tc>
          <w:tcPr>
            <w:tcW w:w="6005" w:type="dxa"/>
            <w:tcBorders/>
            <w:vAlign w:val="center"/>
          </w:tcPr>
          <w:p>
            <w:pPr>
              <w:pStyle w:val="TableContents"/>
              <w:bidi w:val="0"/>
              <w:spacing w:before="0" w:after="283"/>
              <w:jc w:val="both"/>
              <w:rPr>
                <w:b/>
              </w:rPr>
            </w:pPr>
            <w:r>
              <w:rPr>
                <w:b/>
              </w:rPr>
              <w:t>MATERIAL ACCOUNTING POLICY INFORMATION</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accordance with the historical cost basis, except as disclosed in the accounting policies below, and are drawn up in accordance with the provisions of the International Financial Reporting Standards (“IFRSs”) as issued by the International Accounting Standards Board (“IASB”).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cost is generally based on the fair value of the consideration given in exchange for goods and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IFRSs requires management to exercise its judgement in the process of applying the Group’s accounting policies. It also requires the use of certain critical accounting estimates and assumptions. The areas involving a higher degree of judgement or complexity, or areas where assumptions and estimates are significant to the financial statements are disclosed in Note 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ADOPTION OF NEW AND REVISED STANDARDS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date of authorization of those financial statements, our Group has not adopted the new and revised IFRSs and amendments to IFRSs that have been issued but are not yet effective to them. Unless otherwise disclosed, the Group is in the process of assessing the full impact of the above standards and amendments to published standards on the financial statements of the Group in the year of initial application.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AND REVISED STANDARDS IN ISSUED BUT NOT YET EFFECTIVE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applied in advance the following accounting standards and/or interpretations (including the consequential amendments, if any) that have been issued by the IASB but are not yet effective for the current financial period: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28"/>
        <w:gridCol w:w="60"/>
        <w:gridCol w:w="1317"/>
      </w:tblGrid>
      <w:tr>
        <w:trPr/>
        <w:tc>
          <w:tcPr>
            <w:tcW w:w="882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IFRSs and/or IC Interpretations (Including The Consequential Amendments)</w:t>
            </w:r>
          </w:p>
        </w:tc>
        <w:tc>
          <w:tcPr>
            <w:tcW w:w="60" w:type="dxa"/>
            <w:tcBorders/>
            <w:tcMar>
              <w:bottom w:w="0" w:type="dxa"/>
            </w:tcMar>
            <w:vAlign w:val="center"/>
          </w:tcPr>
          <w:p>
            <w:pPr>
              <w:pStyle w:val="TableContents"/>
              <w:bidi w:val="0"/>
              <w:spacing w:before="0" w:after="283"/>
              <w:jc w:val="left"/>
              <w:rPr/>
            </w:pPr>
            <w:r>
              <w:rPr/>
              <w:t> </w:t>
            </w:r>
          </w:p>
        </w:tc>
        <w:tc>
          <w:tcPr>
            <w:tcW w:w="1317"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 xml:space="preserve">Effective Date </w:t>
              <w:br/>
              <w:t xml:space="preserve">(annual periods </w:t>
              <w:br/>
              <w:t xml:space="preserve">beginning on or </w:t>
              <w:br/>
              <w:t>after)</w:t>
            </w:r>
          </w:p>
        </w:tc>
      </w:tr>
      <w:tr>
        <w:trPr/>
        <w:tc>
          <w:tcPr>
            <w:tcW w:w="88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IFRS 19 Subsidiaries without Public Accountability: Disclosures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January 1, 2027</w:t>
            </w:r>
          </w:p>
        </w:tc>
      </w:tr>
      <w:tr>
        <w:trPr/>
        <w:tc>
          <w:tcPr>
            <w:tcW w:w="882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IFRS 18 Presentation and Disclosure in Financial Statements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January 1, 2027</w:t>
            </w:r>
          </w:p>
        </w:tc>
      </w:tr>
      <w:tr>
        <w:trPr/>
        <w:tc>
          <w:tcPr>
            <w:tcW w:w="88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Improvements of IFRS Accounting Standards – Volume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January 1, 2026</w:t>
            </w:r>
          </w:p>
        </w:tc>
      </w:tr>
      <w:tr>
        <w:trPr/>
        <w:tc>
          <w:tcPr>
            <w:tcW w:w="882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IFRS 9 and IFRS 7 Amendments to the Classification and Measurement of Financial Instruments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January 1, 2026</w:t>
            </w:r>
          </w:p>
        </w:tc>
      </w:tr>
      <w:tr>
        <w:trPr/>
        <w:tc>
          <w:tcPr>
            <w:tcW w:w="882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IAS 21 Lack of Exchangeability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January 1, 2025</w:t>
            </w:r>
          </w:p>
        </w:tc>
      </w:tr>
      <w:tr>
        <w:trPr/>
        <w:tc>
          <w:tcPr>
            <w:tcW w:w="882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IFRS 10 and IFRS 28: Sale or Contribution of Assets between an Investor and its Associate or Joint Venture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Deferred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STANDARDS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are consistent with those of the previous financial year except that in the current financial year, the Group has adopted all the new and amended standards which are relevant to the Group and are effective for annual financial period beginning on July 1, 2022. The adoption of these standards did not have any material effect on the financial statements of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CONSOLIDATION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incorporate the financial statements of the Group and all its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pStyle w:val="TextBody"/>
        <w:bidi w:val="0"/>
        <w:spacing w:before="0" w:after="0"/>
        <w:ind w:left="1440" w:right="0" w:hanging="48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75"/>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360" w:type="dxa"/>
            <w:tcBorders/>
            <w:vAlign w:val="center"/>
          </w:tcPr>
          <w:p>
            <w:pPr>
              <w:pStyle w:val="TableContents"/>
              <w:bidi w:val="0"/>
              <w:spacing w:before="0" w:after="283"/>
              <w:jc w:val="both"/>
              <w:rPr/>
            </w:pPr>
            <w:r>
              <w:rPr/>
              <w:t>Power over the investee;</w:t>
            </w:r>
          </w:p>
        </w:tc>
      </w:tr>
    </w:tbl>
    <w:p>
      <w:pPr>
        <w:pStyle w:val="TextBody"/>
        <w:bidi w:val="0"/>
        <w:spacing w:before="0" w:after="0"/>
        <w:ind w:left="1440" w:right="0" w:hanging="48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29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775" w:type="dxa"/>
            <w:tcBorders/>
            <w:vAlign w:val="center"/>
          </w:tcPr>
          <w:p>
            <w:pPr>
              <w:pStyle w:val="TableContents"/>
              <w:bidi w:val="0"/>
              <w:spacing w:before="0" w:after="283"/>
              <w:jc w:val="both"/>
              <w:rPr/>
            </w:pPr>
            <w:r>
              <w:rPr/>
              <w:t>Exposure, or rights, to variable returns from its involvement with the investee; and</w:t>
            </w:r>
          </w:p>
        </w:tc>
      </w:tr>
    </w:tbl>
    <w:p>
      <w:pPr>
        <w:pStyle w:val="TextBody"/>
        <w:bidi w:val="0"/>
        <w:spacing w:before="0" w:after="0"/>
        <w:ind w:left="1440" w:right="0" w:hanging="48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275"/>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110" w:type="dxa"/>
            <w:tcBorders/>
            <w:vAlign w:val="center"/>
          </w:tcPr>
          <w:p>
            <w:pPr>
              <w:pStyle w:val="TableContents"/>
              <w:bidi w:val="0"/>
              <w:spacing w:before="0" w:after="283"/>
              <w:jc w:val="both"/>
              <w:rPr/>
            </w:pPr>
            <w:r>
              <w:rPr/>
              <w:t>The ability to use its power over the investee to affect its returns.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has less than a majority of the voting of similar rights (“de facto control”) of an investee, the Group considers all relevant facts and circumstances in assessing whether it has power over an investee, including:</w:t>
      </w:r>
    </w:p>
    <w:p>
      <w:pPr>
        <w:pStyle w:val="TextBody"/>
        <w:bidi w:val="0"/>
        <w:spacing w:before="0" w:after="0"/>
        <w:ind w:left="1440" w:right="0" w:hanging="48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275"/>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800" w:type="dxa"/>
            <w:tcBorders/>
            <w:vAlign w:val="center"/>
          </w:tcPr>
          <w:p>
            <w:pPr>
              <w:pStyle w:val="TableContents"/>
              <w:bidi w:val="0"/>
              <w:spacing w:before="0" w:after="283"/>
              <w:jc w:val="both"/>
              <w:rPr/>
            </w:pPr>
            <w:r>
              <w:rPr/>
              <w:t>The contractual arrangement with the other vote holders of the investee;</w:t>
            </w:r>
          </w:p>
        </w:tc>
      </w:tr>
    </w:tbl>
    <w:p>
      <w:pPr>
        <w:pStyle w:val="TextBody"/>
        <w:bidi w:val="0"/>
        <w:spacing w:before="0" w:after="0"/>
        <w:ind w:left="1440" w:right="0" w:hanging="48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9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075" w:type="dxa"/>
            <w:tcBorders/>
            <w:vAlign w:val="center"/>
          </w:tcPr>
          <w:p>
            <w:pPr>
              <w:pStyle w:val="TableContents"/>
              <w:bidi w:val="0"/>
              <w:spacing w:before="0" w:after="283"/>
              <w:jc w:val="both"/>
              <w:rPr/>
            </w:pPr>
            <w:r>
              <w:rPr/>
              <w:t>Rights arising from other contractual agreements; and</w:t>
            </w:r>
          </w:p>
        </w:tc>
      </w:tr>
    </w:tbl>
    <w:p>
      <w:pPr>
        <w:pStyle w:val="TextBody"/>
        <w:bidi w:val="0"/>
        <w:spacing w:before="0" w:after="0"/>
        <w:ind w:left="1440" w:right="0" w:hanging="48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75"/>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510" w:type="dxa"/>
            <w:tcBorders/>
            <w:vAlign w:val="center"/>
          </w:tcPr>
          <w:p>
            <w:pPr>
              <w:pStyle w:val="TableContents"/>
              <w:bidi w:val="0"/>
              <w:spacing w:before="0" w:after="283"/>
              <w:jc w:val="both"/>
              <w:rPr/>
            </w:pPr>
            <w:r>
              <w:rPr/>
              <w:t>The voting rights of the Group and potential voting rights.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 facto control exists when an entity has the ability to direct the relevant activities of another entity, even without holding a majority of the voting rights. The following factors are considered in determining de facto control:</w:t>
      </w:r>
    </w:p>
    <w:p>
      <w:pPr>
        <w:pStyle w:val="TextBody"/>
        <w:bidi w:val="0"/>
        <w:spacing w:before="0" w:after="0"/>
        <w:ind w:left="960" w:right="0" w:hanging="48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27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300" w:type="dxa"/>
            <w:tcBorders/>
            <w:vAlign w:val="center"/>
          </w:tcPr>
          <w:p>
            <w:pPr>
              <w:pStyle w:val="TableContents"/>
              <w:bidi w:val="0"/>
              <w:spacing w:before="0" w:after="283"/>
              <w:jc w:val="both"/>
              <w:rPr/>
            </w:pPr>
            <w:r>
              <w:rPr/>
              <w:t>Majority Voting Rights: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may have de facto control if it holds a significant portion of the voting rights, even if less than 50%, and the remaining voting rights are widely dispersed among many shareholders.</w:t>
      </w:r>
    </w:p>
    <w:p>
      <w:pPr>
        <w:pStyle w:val="TextBody"/>
        <w:bidi w:val="0"/>
        <w:spacing w:before="0" w:after="0"/>
        <w:ind w:left="960" w:right="0" w:hanging="480"/>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29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315" w:type="dxa"/>
            <w:tcBorders/>
            <w:vAlign w:val="center"/>
          </w:tcPr>
          <w:p>
            <w:pPr>
              <w:pStyle w:val="TableContents"/>
              <w:bidi w:val="0"/>
              <w:spacing w:before="0" w:after="283"/>
              <w:jc w:val="both"/>
              <w:rPr/>
            </w:pPr>
            <w:r>
              <w:rPr/>
              <w:t>Potential Voting Rights: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may be established through potential voting rights, such as options or convertible instruments, that when exercised, would give the entity a majority of the voting rights.</w:t>
      </w:r>
    </w:p>
    <w:p>
      <w:pPr>
        <w:pStyle w:val="TextBody"/>
        <w:bidi w:val="0"/>
        <w:spacing w:before="0" w:after="0"/>
        <w:ind w:left="960" w:right="0" w:hanging="48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275"/>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1700" w:type="dxa"/>
            <w:tcBorders/>
            <w:vAlign w:val="center"/>
          </w:tcPr>
          <w:p>
            <w:pPr>
              <w:pStyle w:val="TableContents"/>
              <w:bidi w:val="0"/>
              <w:spacing w:before="0" w:after="283"/>
              <w:jc w:val="both"/>
              <w:rPr/>
            </w:pPr>
            <w:r>
              <w:rPr/>
              <w:t>De Facto Agents: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may control another entity through de facto agents who act on its behalf in directing the relevant activities.</w:t>
      </w:r>
    </w:p>
    <w:p>
      <w:pPr>
        <w:pStyle w:val="TextBody"/>
        <w:bidi w:val="0"/>
        <w:spacing w:before="0" w:after="0"/>
        <w:ind w:left="960" w:right="0" w:hanging="48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9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2300" w:type="dxa"/>
            <w:tcBorders/>
            <w:vAlign w:val="center"/>
          </w:tcPr>
          <w:p>
            <w:pPr>
              <w:pStyle w:val="TableContents"/>
              <w:bidi w:val="0"/>
              <w:spacing w:before="0" w:after="283"/>
              <w:jc w:val="both"/>
              <w:rPr/>
            </w:pPr>
            <w:r>
              <w:rPr/>
              <w:t>Economic Dependence:</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may have de facto control if another entity is economically dependent on it, such as through significant funding or resource provision.</w:t>
      </w:r>
    </w:p>
    <w:p>
      <w:pPr>
        <w:pStyle w:val="TextBody"/>
        <w:bidi w:val="0"/>
        <w:spacing w:before="0" w:after="0"/>
        <w:ind w:left="960" w:right="0" w:hanging="48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7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120" w:type="dxa"/>
            <w:tcBorders/>
            <w:vAlign w:val="center"/>
          </w:tcPr>
          <w:p>
            <w:pPr>
              <w:pStyle w:val="TableContents"/>
              <w:bidi w:val="0"/>
              <w:spacing w:before="0" w:after="283"/>
              <w:jc w:val="both"/>
              <w:rPr/>
            </w:pPr>
            <w:r>
              <w:rPr/>
              <w:t>Special Relationships: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Long-standing business relationships or familial ties that result in one entity consistently following the directives of another may indicate de facto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Intragroup balances, transactions, income and expenses are eliminated in the consolidated financial statement. Unrealized gains arising from transactions with the associate are eliminated against the investment to the extent of the interest of the Group in the investee. Unrealized losses are eliminated in the same way as unrealized gains, but only to the extent that there is no impairment.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subsidiaries are prepared for the same reporting period as that of the Group, using consistent accounting policies. Where necessary, accounting policies of subsidiaries are changed to ensure consistency with the policies adopted by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if any, represent equity in subsidiaries that are not attributable, directly or indirectly, to owners of the parent, and is presented separately in the consolidated statement of profit or loss and other comprehensive income and within equity in the consolidated statement of financial position, separately from equity attributable to owners of the Group. Profit or loss and each component of other comprehensive income are attributed to the owners of the parent and to the non-controlling interests. Total comprehensive income is attributed to non-controlling interests even if this results in the non-controlling interests having a deficit balance.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re-assesses whether or not it controls an investee if facts and circumstances indicate that there are changes to one or more of the three elements of control. Subsidiaries are consolidated from the date on which control is transferred to the Group up to the effective date on which control ceases, as appropriate. Assets, liabilities, income and expenses of a subsidiary acquired or disposed of during the financial year are included in the statement of profit or loss and other comprehensive income from the date the Group gains control until the date the Group ceases to control the subsidiary.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loses control of a subsidiary, the profit or loss on disposal is calculated as the difference between:</w:t>
      </w:r>
    </w:p>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both"/>
              <w:rPr/>
            </w:pPr>
            <w:r>
              <w:rPr/>
              <w:t>the aggregate of the fair value of the consideration received and the fair value of any retained interest;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the previous carrying amount of the assets (including goodwill), and liabilities of the subsidiary and any non-controlling interests.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ULTRATREX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previously recognized in other comprehensive income in relation to the subsidiary are accounted for (i.e. reclassified to profit or loss or transferred directly to retained earnings) in the same manner as would be required if the relevant assets or liabilities were disposed of. The fair value of any investments retained in the former subsidiary at the date when control is lost is regarded as the fair value on initial recognition for subsequent accounting under IFRS 9 Financial Instruments or, where applicable, the cost on initial recognition of an investment in an associate or a joint venture.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other than those involving entities under common control, are accounted for by applying the acquisition method of accounting.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Identifiable assets acquired, liabilities and contingent liabilities assumed in a business combination are measured at their fair value at the acquisition date, except that:</w:t>
      </w:r>
    </w:p>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 xml:space="preserve">deferred tax assets or liabilities and liabilities or assets related to employee benefit arrangements are recognized and measured in accordance with IAS 12 </w:t>
            </w:r>
            <w:r>
              <w:rPr>
                <w:i/>
              </w:rPr>
              <w:t>Income Taxes</w:t>
            </w:r>
            <w:r>
              <w:rPr/>
              <w:t xml:space="preserve"> and IAS 19 </w:t>
            </w:r>
            <w:r>
              <w:rPr>
                <w:i/>
              </w:rPr>
              <w:t>Employee Benefits</w:t>
            </w:r>
            <w:r>
              <w:rPr/>
              <w:t xml:space="preserve"> respectively;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283"/>
              <w:jc w:val="both"/>
              <w:rPr/>
            </w:pPr>
            <w:r>
              <w:rPr/>
              <w:t xml:space="preserve">right-of-use assets and lease liabilities for leases are recognized and measured in accordance with IFRS 16 </w:t>
            </w:r>
            <w:r>
              <w:rPr>
                <w:i/>
              </w:rPr>
              <w:t>Leases</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costs are recognized as expenses in the periods in which the costs are incurred and the services are received.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contingent consideration payable is recognized at fair value at the acquisition date. The Group accounts for changes in fair value of contingent consideration that are not measurement period adjustments as follows:</w:t>
      </w:r>
    </w:p>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Contingent consideration classified as equity shall not be remeasured and its subsequent settlement shall be accounted for within equity.</w:t>
            </w:r>
          </w:p>
        </w:tc>
      </w:tr>
    </w:tbl>
    <w:p>
      <w:pPr>
        <w:pStyle w:val="TextBody"/>
        <w:bidi w:val="0"/>
        <w:spacing w:before="0" w:after="0"/>
        <w:ind w:left="1440" w:right="0" w:hanging="48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9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410" w:type="dxa"/>
            <w:tcBorders/>
            <w:vAlign w:val="center"/>
          </w:tcPr>
          <w:p>
            <w:pPr>
              <w:pStyle w:val="TableContents"/>
              <w:bidi w:val="0"/>
              <w:spacing w:before="0" w:after="283"/>
              <w:jc w:val="both"/>
              <w:rPr/>
            </w:pPr>
            <w:r>
              <w:rPr/>
              <w:t>Other contingent consideration that:</w:t>
            </w:r>
          </w:p>
        </w:tc>
      </w:tr>
    </w:tbl>
    <w:p>
      <w:pPr>
        <w:pStyle w:val="TextBody"/>
        <w:bidi w:val="0"/>
        <w:spacing w:before="0" w:after="0"/>
        <w:ind w:left="192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 xml:space="preserve">is within the scope of IFRS 9 </w:t>
            </w:r>
            <w:r>
              <w:rPr>
                <w:i/>
              </w:rPr>
              <w:t>Financial Instruments</w:t>
            </w:r>
            <w:r>
              <w:rPr/>
              <w:t xml:space="preserve"> shall be measured at fair value at each reporting date and changes in fair value shall be recognized in profit or loss in accordance with IFRS 9 </w:t>
            </w:r>
            <w:r>
              <w:rPr>
                <w:i/>
              </w:rPr>
              <w:t>Financial Instruments</w:t>
            </w:r>
            <w:r>
              <w:rPr/>
              <w:t xml:space="preserve"> for the relevant period.</w:t>
            </w:r>
          </w:p>
        </w:tc>
      </w:tr>
    </w:tbl>
    <w:p>
      <w:pPr>
        <w:pStyle w:val="TextBody"/>
        <w:bidi w:val="0"/>
        <w:spacing w:before="0" w:after="0"/>
        <w:ind w:left="192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(ii)</w:t>
            </w:r>
          </w:p>
        </w:tc>
        <w:tc>
          <w:tcPr>
            <w:tcW w:w="9909" w:type="dxa"/>
            <w:tcBorders/>
            <w:vAlign w:val="center"/>
          </w:tcPr>
          <w:p>
            <w:pPr>
              <w:pStyle w:val="TableContents"/>
              <w:bidi w:val="0"/>
              <w:spacing w:before="0" w:after="283"/>
              <w:jc w:val="both"/>
              <w:rPr/>
            </w:pPr>
            <w:r>
              <w:rPr/>
              <w:t xml:space="preserve">is not within the scope of IFRS 9 </w:t>
            </w:r>
            <w:r>
              <w:rPr>
                <w:i/>
              </w:rPr>
              <w:t>Financial Instruments</w:t>
            </w:r>
            <w:r>
              <w:rPr/>
              <w:t xml:space="preserve"> shall be measured at fair value at each reporting date and changes in fair value shall be recognized in profit or loss.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business combination achieved in stages, previously held equity interests in the acquiree are re-measured to fair value at the acquisition date and any corresponding gain or loss is recognized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non-controlling interests in the acquiree that are present ownership interests and entitle their holders to a proportionate share of the entity’s net assets in the event of liquidation are initially measured at the present ownership instruments’ proportionate share in the recognized amounts of the acquiree’s identifiable net assets. All other components of non-controlling interests shall be measured at their acquisition-date fair values, unless another measurement basis is required by IFRS. The choice of measurement basis is made on a combination-by-combination basis. Subsequent to initial recognition, the carrying amount of non-controlling interests is the amount of those interests at initial recognition plus the non-controlling interests’ share of subsequent changes in equity.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excess of the sum of the fair value of the consideration transferred in the business combination, the amount of non-controlling interest in the acquiree (if any), and the fair value of the previously held equity interest of the Group in the acquiree (if any), over the net fair value of the acquiree’s identifiable assets and liabilities is recorded as goodwill in the statement of financial position. In instances where the latter amount exceeds the former, the excess is recognized as a gain on bargain purchase in profit or loss on the acquisition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involving entities under common control are accounted for by applying the pooling of interest method of accounting. The assets and liabilities of the entities are reflected at their carrying amounts reported in the consolidated financial statements of the Group. Any difference between the consideration paid and the share capital and capital reserves of the “acquired” entity is reflected within equity as merger reserve, if any. Merger reserve is non-distributable. The statements of profit or loss and other comprehensive income reflects the results of the entities for the full year, irrespective of when the combination takes place. Comparatives are presented as if the entities had always been combined since the date the entities had come under common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under common control are entities, which are ultimately controlled by the same parties and that control is not transitory. Control exists when the same parties have, as a result of contractual agreements, ultimate collective power to govern the financial and operating policies of each of the entities so as to obtain benefits from their activities, and that ultimate collective power is not transitory. The financial statements of commonly controlled entities are included in the consolidated financial statements from the day that control commences until the date that control ceases.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PRESENTATION CURRENCY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and presentation currency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 financial statements of each entity within the Group are measured and presented in the currency of the primary economic environment in which the entity operates (its functional currency). The consolidated financial statements of the Group and the statements of financial positions of the Group are presented in United States Dollar (“USD”) which is the functional currency of the Group and the presentation currency for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and balances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a currency other than the functional currency (“foreign currency”) are translated into the functional currency using the exchange rates at the dates of the transactions. Currency exchange differences resulting from the settlement of such transactions and from the translation of monetary assets and liabilities denominated in foreign currencies at the closing rates at the balance sheet date are recognized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items include primarily financial assets (other than equity investments), contract assets and financial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Non-monetary items measured at fair value in foreign currencies are translated using the exchange rates at the date when the fair values are determined.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Group entities’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and financial position of all the Group entities (none of which has the currency of a hyperinflationary economy) that have a functional currency different from the presentation currency are translated into the presentation currency as follows:</w:t>
      </w:r>
    </w:p>
    <w:p>
      <w:pPr>
        <w:pStyle w:val="TextBody"/>
        <w:bidi w:val="0"/>
        <w:spacing w:before="0" w:after="0"/>
        <w:ind w:left="960" w:right="0" w:hanging="48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23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940" w:type="dxa"/>
            <w:tcBorders/>
            <w:vAlign w:val="center"/>
          </w:tcPr>
          <w:p>
            <w:pPr>
              <w:pStyle w:val="TableContents"/>
              <w:bidi w:val="0"/>
              <w:spacing w:before="0" w:after="283"/>
              <w:jc w:val="both"/>
              <w:rPr/>
            </w:pPr>
            <w:r>
              <w:rPr/>
              <w:t>assets and liabilities are translated at the closing exchange rates at the reporting date;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income and expenses are translated at average exchange rates (unless the average is not a reasonable approximation of the cumulative effect of the rates prevailing on the transaction dates, in which case income and expenses are translated using the exchange rates at the dates of the transactions);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8" w:type="dxa"/>
            <w:tcBorders/>
            <w:vAlign w:val="center"/>
          </w:tcPr>
          <w:p>
            <w:pPr>
              <w:pStyle w:val="TableContents"/>
              <w:bidi w:val="0"/>
              <w:spacing w:before="0" w:after="283"/>
              <w:jc w:val="both"/>
              <w:rPr/>
            </w:pPr>
            <w:r>
              <w:rPr/>
              <w:t>all resulting currency translation differences are recognized in other comprehensive income and accumulated in the currency translation reserve. These currency translation differences are reclassified to profit or loss on disposal or partial disposal with loss of control of the foreign operation.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plant and equipment excluding right-of-use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items of property, plant and equipment excluding right-of-use assets are initially measured at cost. Cost includes expenditure that is directly attributable to the acquisition of the asset.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costs are included in the asset’s carrying amount or recognized as a separate asset, as appropriate, only when the cost is incurred and it is probable that the future economic benefits associated with the subsequent costs would flow to the Group and the cost of the asset could be measured reliably. The carrying amount of parts that are replaced is derecognized. The costs of the day-to-day servicing of property, plant and equipment excluding right-of-use assets are recognized in profit or loss as incurred. Cost also comprises the initial estimate of dismantling and removing the asset and restoring the site on which it is located for which the Group is obligated to incur when the asset is acquired, if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 of an item of property, plant and equipment excluding right-of-use assets with a cost that is significant in relation to the total cost of the asset and which has a different useful life, is depreciated separately.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initial recognition, property, plant and equipment excluding right-of-use assets are stated at cost less accumulated depreciation and accumulated impairment losses,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to write off the cost of the assets to their residual values on a straight-line basis over their estimated useful lives. The estimated useful lives represent common life expectancies applied in the industry within which the Group operates. The principal annual depreciation rates are as follows:</w:t>
      </w:r>
    </w:p>
    <w:p>
      <w:pPr>
        <w:pStyle w:val="TextBody"/>
        <w:bidi w:val="0"/>
        <w:spacing w:before="0" w:after="0"/>
        <w:ind w:left="72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95"/>
        <w:gridCol w:w="60"/>
        <w:gridCol w:w="1190"/>
      </w:tblGrid>
      <w:tr>
        <w:trPr/>
        <w:tc>
          <w:tcPr>
            <w:tcW w:w="2195"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Freehold factory buildings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2%</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and fittings</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10% to 20%</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Motor vehicles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12.5% to 25%</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10% to 25%</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 and machinery</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10% to 25%</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Renovation</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10% to 25%</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Signboard</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10%</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Tools and equipment</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Freehold land has unlimited useful life and is not depreciated.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the carrying amount of an item of property, plant and equipment excluding right-of-use assets is assessed for impairment when events or changes in circumstances indicate that its carrying amount may not be recoverable. A write down is made if the carrying amount exceeds the recoverable amount.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residual values, useful lives and depreciation method are reviewed at the end of each reporting period to ensure that the amount, method and period of depreciation are consistent with previous estimates and the expected pattern of consumption of the future economic benefits embodied in the items of property, plant and equipment. If expectations differ from previous estimates, the changes are accounted for as a change in an accounting estimate.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an item of property, plant and equipment excluding right-of-use assets is derecognized on disposal or when no future economic benefits are expected from its use or disposal. The difference between the net disposal proceeds, if any, and the carrying amount is included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4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a 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is, or contains, a lease if the contract conveys the right to control the use of an identified asset for a period of time in exchange for consideration.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entered into or modified on or after the date of initial application of IFRS 16 or arising from business combinations, the Group assesses whether a contract is or contains a lease based on the definition under IFRS 16 at inception, modification date or acquisition date, as appropriate. Such contract will not be reassessed unless the terms and conditions of the contract are subsequently changed.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Group as a lessee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Right-of-use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assets are initially measured at cost, which comprise the initial amount of the lease liabilities adjusted for any lease payments made at or before the commencement date of the leases.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initial recognition, right-of-use assets are stated at cost less accumulated depreciation and accumulated impairment losses, if any, and adjusted for any re-measurement of the lease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assets are depreciated on the straight-line basis over the earlier of the estimated useful lives of the right-of-use assets or the end of the lease term. The principal depreciation periods are as follows:</w:t>
      </w:r>
    </w:p>
    <w:p>
      <w:pPr>
        <w:pStyle w:val="TextBody"/>
        <w:bidi w:val="0"/>
        <w:spacing w:before="0" w:after="0"/>
        <w:ind w:left="72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1700"/>
        <w:gridCol w:w="60"/>
        <w:gridCol w:w="1190"/>
      </w:tblGrid>
      <w:tr>
        <w:trPr/>
        <w:tc>
          <w:tcPr>
            <w:tcW w:w="1700"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Leasehold land</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2%</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buildings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2% to 50%</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Motor vehicles</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12.5% to 20%</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 and machinery</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10%</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 and equipment</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right-of-use asset includes:</w:t>
      </w:r>
    </w:p>
    <w:p>
      <w:pPr>
        <w:pStyle w:val="TextBody"/>
        <w:bidi w:val="0"/>
        <w:spacing w:before="0" w:after="0"/>
        <w:ind w:left="1440" w:right="0" w:hanging="48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the amount of the initial measurement of the lease liability;</w:t>
            </w:r>
          </w:p>
        </w:tc>
      </w:tr>
    </w:tbl>
    <w:p>
      <w:pPr>
        <w:pStyle w:val="TextBody"/>
        <w:bidi w:val="0"/>
        <w:spacing w:before="0" w:after="0"/>
        <w:ind w:left="1440" w:right="0" w:hanging="48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t>any lease payments made at or before the commencement date, less any lease incentives received;</w:t>
            </w:r>
          </w:p>
        </w:tc>
      </w:tr>
    </w:tbl>
    <w:p>
      <w:pPr>
        <w:pStyle w:val="TextBody"/>
        <w:bidi w:val="0"/>
        <w:spacing w:before="0" w:after="0"/>
        <w:ind w:left="1440" w:right="0" w:hanging="48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any initial direct costs incurred by the Group;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estimate of costs to be incurred by the Group in dismantling and removing the underlying assets, restoring the site on which it is located or restoring the underlying asset to the condition required by the terms and conditions of the lease.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initial recognition, the right-of-use asset is measured at cost less accumulated depreciation and any accumulated impairment losses, and adjusted for any remeasurement of the lease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depreciated using the straight-line method from the commencement date to the earlier of the end of the useful life of the right-of-use asset or the end of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right-of-use assets as a separate line item on the consolidated statements of financial position.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4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include:</w:t>
      </w:r>
    </w:p>
    <w:p>
      <w:pPr>
        <w:pStyle w:val="TextBody"/>
        <w:bidi w:val="0"/>
        <w:spacing w:before="0" w:after="0"/>
        <w:ind w:left="1440" w:right="0" w:hanging="48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fixed payments (including in-substance fixed payments) less any lease incentives receivable;</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variable lease payments that depend on an index or a rate, initially measured using the index or rate as at the commencement date;</w:t>
            </w:r>
          </w:p>
        </w:tc>
      </w:tr>
    </w:tbl>
    <w:p>
      <w:pPr>
        <w:pStyle w:val="TextBody"/>
        <w:bidi w:val="0"/>
        <w:spacing w:before="0" w:after="0"/>
        <w:ind w:left="1440" w:right="0" w:hanging="48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pPr>
            <w:r>
              <w:rPr/>
              <w:t>amounts expected to be payable by the Group under residual value guarantees;</w:t>
            </w:r>
          </w:p>
        </w:tc>
      </w:tr>
    </w:tbl>
    <w:p>
      <w:pPr>
        <w:pStyle w:val="TextBody"/>
        <w:bidi w:val="0"/>
        <w:spacing w:before="0" w:after="0"/>
        <w:ind w:left="1440" w:right="0" w:hanging="48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t>the exercise price of a purchase option if the Group is reasonably certain to exercise the option;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payments of penalties for terminating a lease, if the lease term reflects the Group exercising an option to terminate the lease.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commencement date, lease liabilities are adjusted by interest accretion and lease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remeasures lease liabilities (and makes a corresponding adjustment to the related right-of-use assets) whenever:</w:t>
      </w:r>
    </w:p>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lease term has changed or there is a change in the assessment of exercise of a purchase option, in which case the related lease liability is remeasured by discounting the revised lease payments using a revised discount rate at the date of reassessment.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lease payments change due to changes in market rental rates following a market rent review/expected payment under a guaranteed residual value, in which cases the related lease liability is remeasured by discounting the revised lease payments using the initial discount rate.</w:t>
            </w:r>
          </w:p>
        </w:tc>
      </w:tr>
    </w:tbl>
    <w:p>
      <w:pPr>
        <w:pStyle w:val="TextBody"/>
        <w:bidi w:val="0"/>
        <w:spacing w:before="0" w:after="0"/>
        <w:ind w:left="1440" w:right="0" w:hanging="480"/>
        <w:jc w:val="both"/>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there is a modification in the scope or the consideration of the lease that was not part of the original term</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lease liabilities as a separate line item on the consolidated statements of financial position.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Short-term leases and leases of low-value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short-term lease recognition exemption to leases of motor vehicles that have a lease term of 12 months or less from the commencement date and do not contain a purchase option. It also applies the recognition exemption for lease of low-value assets. Lease payments on short-term leases and leases of low-value assets are recognized as expense on a straight-line basis or another systematic basis over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Refundable rental deposits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Refundable rental deposits paid are accounted under IFRS 9 and initially measured at fair value. Adjustments to fair value at initial recognition are considered as additional lease payments and included in the cost of right-of-use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Group as lessor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classified its leases as either operating leases or finance leases. Leases where the Group retains substantially all the risks and rewards of ownership of the leased assets are classified as operating leases. Initial direct costs incurred in negotiating an operating lease are added to the carrying amount of the leased asset and recognized over the lease term on the same basis as rental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transfers substantially all the risks and rewards incidental to ownership of the leased assets, the leases are classified as finance leases and are capitalized at an amount equal to the net investment in the 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NON-FINANCIAL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reporting period, the Group reviews the carrying amounts of its property, plant and equipment and right-of-use assets to determine whether there is any indication that these assets have suffered an impairment loss. If any such indication exists, the recoverable amount of the relevant asset is estimated in order to determine the extent of the impairment loss (if 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property, plant and equipment and right-of-use assets are estimated individually. When it is not possible to estimate the recoverable amount individually, the Group estimates the recoverable amount of the cash-generating unit to which the asset belongs.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amount is the higher of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An impairment loss is recognized immediately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OFFERING COSTS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initial public offering (“IPO”) costs consist of underwriting, legal and other expenses incurred through the balance sheet date that are directly related to the intended IPO. Deferred IPO costs will be charged to shareholders’ equity netted against the proceeds upon the completion of the IPO. Should the IPO prove to be unsuccessful, these deferred IPO costs, as well as additional expenses to be incurred, will be charged to statements of comprehensive income.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Cost comprises direct materials and, where applicable, direct labor costs and those overheads that have been incurred in bringing the inventories to their present location and condition. Cost is calculated using the first-in-first-out basis. Net realizable value represents the estimated selling price less all estimated costs of completion and costs to be incurred in marketing, selling and distribution.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recognized when the Group has a present obligation (legal or constructive) as a result of a past event, it is probable that the Group will be required to settle that obligation, and a reliable estimate can be made of the amount of the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legal claims, service warranties and one-time termination benefits for certain employees are recognized when the Group has a present legal or constructive obligation as a result of past events, it is probable that an outflow of resources will be required to settle the obligation and the amount can be reliably estimated. Provisions are not recognized for future operating losses.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p>
      <w:pPr>
        <w:pStyle w:val="TextBody"/>
        <w:bidi w:val="0"/>
        <w:spacing w:before="0" w:after="0"/>
        <w:ind w:left="960" w:right="0" w:hanging="48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275"/>
        <w:gridCol w:w="15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1505" w:type="dxa"/>
            <w:tcBorders/>
            <w:vAlign w:val="center"/>
          </w:tcPr>
          <w:p>
            <w:pPr>
              <w:pStyle w:val="TableContents"/>
              <w:bidi w:val="0"/>
              <w:spacing w:before="0" w:after="283"/>
              <w:jc w:val="both"/>
              <w:rPr/>
            </w:pPr>
            <w:r>
              <w:rPr/>
              <w:t>Financial assets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recognized in the statements of financial position when, and only when, the Group become a party to the contractual provisions of the financial instrument.</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financial assets are initially recognized, they are measured at fair value, plus, in the case of financial assets not at Fair Value Through Profit or Loss (“FVTPL”), directly attributable transaction costs.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the classification of financial assets upon initial recognition. The measurement for each classification of financial assets is as below:</w:t>
      </w:r>
    </w:p>
    <w:p>
      <w:pPr>
        <w:pStyle w:val="TextBody"/>
        <w:bidi w:val="0"/>
        <w:spacing w:before="0" w:after="0"/>
        <w:ind w:left="1440" w:right="0" w:hanging="48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23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115" w:type="dxa"/>
            <w:tcBorders/>
            <w:vAlign w:val="center"/>
          </w:tcPr>
          <w:p>
            <w:pPr>
              <w:pStyle w:val="TableContents"/>
              <w:bidi w:val="0"/>
              <w:spacing w:before="0" w:after="283"/>
              <w:jc w:val="both"/>
              <w:rPr/>
            </w:pPr>
            <w:r>
              <w:rPr/>
              <w:t>Financial assets measured at amortized cost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that are debt instruments are measured at amortized cost if they are held within a business model whose objective is to collect contractual cash flows and have contractual terms which give rise on specific dates to cash flows that are solely payments of principal and interest on the principal amount outstanding.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recognition, financial assets are measured at amortized cost using the effective interest method. Gains and losses are recognized in profit or loss through the amortization process and when the financial assets are impaired or derecognized.</w:t>
      </w:r>
    </w:p>
    <w:p>
      <w:pPr>
        <w:pStyle w:val="TextBody"/>
        <w:bidi w:val="0"/>
        <w:spacing w:before="0" w:after="0"/>
        <w:ind w:left="1440" w:right="0" w:hanging="48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29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925" w:type="dxa"/>
            <w:tcBorders/>
            <w:vAlign w:val="center"/>
          </w:tcPr>
          <w:p>
            <w:pPr>
              <w:pStyle w:val="TableContents"/>
              <w:bidi w:val="0"/>
              <w:spacing w:before="0" w:after="283"/>
              <w:jc w:val="both"/>
              <w:rPr/>
            </w:pPr>
            <w:r>
              <w:rPr/>
              <w:t>Financial assets measured subsequently at fair value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that are debt instruments are measured at Fair Value Through Other Comprehensive Income (“FVTOCI”) if they are held within a business model whose objectives are to collect contractual cash flows and selling the financial assets, and have contractual terms which give rise on specific dates to cash flows that are solely payments of principal and interest on the principal amount outstanding.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recognition, financial assets that are debt instruments are measured at fair value. Any gains or losses arising from the changes in fair value are recognized in other comprehensive income, except for impairment losses, exchange differences and interest income which are recognized in profit or loss. The cumulative gain or loss previously recognized in other comprehensive income is reclassified from equity to profit or loss as a reclassification adjustment when the financial asset is derecognized.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that are debt instruments, which do not satisfy the requirements to be measured at amortized cost or FVTOCI are measured at FVTPL. Any gains or losses arising from the changes in fair value are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have any financial assets measured at FVTOCI and FVTPL as at the end of the reporting period.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instruments are classified as financial assets measured at FVTPL if they are held for trading or are designated as such upon initial recognition. Equity instruments are classified as held for trading if they are acquired principally for sale in the near term or are derivatives that do not meet the hedge accounting criteria (including separated embedded derivatives). The Group has an option to elect an irrevocable option to designate its equity instruments at initial recognition as financial assets measured at FVTOCI if the equity instruments are not held for trading.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recognition, financial assets that are equity instruments are measured at fair value. Any gains or losses arising from the changes in fair value are recognized in profit or loss for equity instruments measured at FVTPL. As for equity instruments measured at FVTOCI, any gains or losses arising from the changes in fair value are recognized in other comprehensive income and are not subsequently transferred to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equity instruments are recognized in profit or loss when the right to receive payment is established.</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bank balances and deposits with banks and highly liquid investments which have an insignificant risk of changes in fair value with original maturities of three (3) months or less, and are used by the Group in the management of their short term commitments. For the purpose of the statements of cash flows, cash and cash equivalents are presented net of bank overdrafts and pledged deposits, if any.</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is derecognized when the contractual right to receive cash flows from the financial asset has expired. On derecognition of a financial asset in its entirety, the difference between the carrying amount and the sum of consideration received (including any new asset obtained less any new liability assumed) and any cumulative gain or loss that had been recognized directly in other comprehensive income shall be recognized in profit or loss.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regular way purchase or sale is a purchase or sale of a financial asset under a contract whose terms require delivery of the asset within the time frame established generally by regulation or marketplace convention.</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regular way purchase or sale of financial assets shall be recognized and derecognized, as applicable, using trade date accounting.</w:t>
      </w:r>
    </w:p>
    <w:p>
      <w:pPr>
        <w:pStyle w:val="TextBody"/>
        <w:bidi w:val="0"/>
        <w:spacing w:before="0" w:after="0"/>
        <w:ind w:left="960" w:right="0" w:hanging="48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9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805" w:type="dxa"/>
            <w:tcBorders/>
            <w:vAlign w:val="center"/>
          </w:tcPr>
          <w:p>
            <w:pPr>
              <w:pStyle w:val="TableContents"/>
              <w:bidi w:val="0"/>
              <w:spacing w:before="0" w:after="283"/>
              <w:jc w:val="both"/>
              <w:rPr/>
            </w:pPr>
            <w:r>
              <w:rPr/>
              <w:t>Financial liabilities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are classified as liabilities or equity in accordance with the substance of the contractual arrangement. A financial liability is classified into the following two (2) categories after initial recognition for the purpose of subsequent measurement:</w:t>
      </w:r>
    </w:p>
    <w:p>
      <w:pPr>
        <w:pStyle w:val="TextBody"/>
        <w:bidi w:val="0"/>
        <w:spacing w:before="0" w:after="0"/>
        <w:ind w:left="1440" w:right="0" w:hanging="48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3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015" w:type="dxa"/>
            <w:tcBorders/>
            <w:vAlign w:val="center"/>
          </w:tcPr>
          <w:p>
            <w:pPr>
              <w:pStyle w:val="TableContents"/>
              <w:bidi w:val="0"/>
              <w:spacing w:before="0" w:after="283"/>
              <w:jc w:val="both"/>
              <w:rPr/>
            </w:pPr>
            <w:r>
              <w:rPr/>
              <w:t>Financial liabilities at fair value through profit or loss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at fair value through profit or loss comprise financial liabilities that are held for trading, derivatives (both, freestanding and embedded) and financial liabilities that were specifically designated into this classification upon initial recognition.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recognition, financial liabilities classified as at fair value through profit or loss are measured at fair value. Any gains or losses arising from changes in the fair value of financial liabilities classified as at fair value through profit or loss are recognized in profit or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9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345" w:type="dxa"/>
            <w:tcBorders/>
            <w:vAlign w:val="center"/>
          </w:tcPr>
          <w:p>
            <w:pPr>
              <w:pStyle w:val="TableContents"/>
              <w:bidi w:val="0"/>
              <w:spacing w:before="0" w:after="283"/>
              <w:jc w:val="both"/>
              <w:rPr/>
            </w:pPr>
            <w:r>
              <w:rPr/>
              <w:t>Other financial liabilities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classified as other financial liabilities comprise non-derivative financial liabilities that are neither held for trading nor initially designated as at fair value through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initial recognition, other financial liabilities are measured at amortized cost using the effective interest method. Gains or losses on other financial liabilities are recognized in profit or loss when the financial liabilities are derecognized and through the amortization process.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is derecognized when, and only when, it is extinguished, i.e. when the obligation specified in the contract is discharged or cancelled or expires. An exchange between an existing borrower and lender of debt instruments with substantially different terms are accounted for as an extinguishment of the original financial liability and the recognition of a new financial liability. Similarly, a substantial modification of the terms of an existing financial liability is accounted for as an extinguishment of the original financial liability and the recognition of a new financial liability.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difference between the carrying amount of a financial liability extinguished or transferred to another party and the consideration paid, including any non-cash assets transferred or liabilities assumed, is recognized in profit or loss.</w:t>
      </w:r>
    </w:p>
    <w:p>
      <w:pPr>
        <w:pStyle w:val="TextBody"/>
        <w:bidi w:val="0"/>
        <w:spacing w:before="0" w:after="0"/>
        <w:ind w:left="960" w:right="0" w:hanging="480"/>
        <w:jc w:val="both"/>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38"/>
        <w:gridCol w:w="275"/>
        <w:gridCol w:w="6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65" w:type="dxa"/>
            <w:tcBorders/>
            <w:vAlign w:val="center"/>
          </w:tcPr>
          <w:p>
            <w:pPr>
              <w:pStyle w:val="TableContents"/>
              <w:bidi w:val="0"/>
              <w:spacing w:before="0" w:after="283"/>
              <w:jc w:val="both"/>
              <w:rPr/>
            </w:pPr>
            <w:r>
              <w:rPr/>
              <w:t>Equity</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equity instrument is any contract that evidences a residual interest in the assets of the Group after deducting all of its liabilities. Ordinary shares are classified as equity instruments.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recorded at the proceeds received at issuance and classified as equity. Transactions costs directly related to the issuance of equity instrument are accounted for as a deduction from equity, net of any related income tax benefit. Otherwise, they are charged to profit or loss.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and final dividends to shareholders are recognized in equity in the period in which they are authorized for issuance.</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a liability to distribute non-cash assets as a dividend to the owners of the Group at the fair value of the assets to be distributed. The carrying amount of the dividend is remeasured at the end of each reporting period and at the settlement date, with any changes recognized directly in equity as adjustments to the amount of the distribution. On settlement of the transaction, the Group recognizes the difference, if any, between the carrying amounts of the assets distributed and the carrying amount of the liability in profit or loss.</w:t>
      </w:r>
    </w:p>
    <w:p>
      <w:pPr>
        <w:pStyle w:val="TextBody"/>
        <w:bidi w:val="0"/>
        <w:spacing w:before="0" w:after="0"/>
        <w:ind w:left="960" w:right="0" w:hanging="48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29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2780" w:type="dxa"/>
            <w:tcBorders/>
            <w:vAlign w:val="center"/>
          </w:tcPr>
          <w:p>
            <w:pPr>
              <w:pStyle w:val="TableContents"/>
              <w:bidi w:val="0"/>
              <w:spacing w:before="0" w:after="283"/>
              <w:jc w:val="both"/>
              <w:rPr/>
            </w:pPr>
            <w:r>
              <w:rPr/>
              <w:t>Financial guarantee contracts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guarantee contract is a contract that requires the issuer to make specified payments to reimburse the holder for a loss incurred because a specified debtor failed to make payment when payment was due.</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guarantee contracts are recognized initially as a liability at fair value. Subsequent to initial recognition, financial guarantee contracts are recognized as income in the profit or loss over the period of the guarantee. If the debtor fails to make payments relating to the financial guarantee contract when it is due to the Group, as the issuer is required to reimburse the holder for the associated loss, the liability is measured at the higher of the Expected Credit Loss (“ECL”) allowance and the amount initially recognized less any cumulative amount of income/amortization recognized.</w:t>
      </w:r>
    </w:p>
    <w:p>
      <w:pPr>
        <w:pStyle w:val="TextBody"/>
        <w:bidi w:val="0"/>
        <w:spacing w:before="0" w:after="0"/>
        <w:ind w:left="960" w:right="0" w:hanging="48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75"/>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1025" w:type="dxa"/>
            <w:tcBorders/>
            <w:vAlign w:val="center"/>
          </w:tcPr>
          <w:p>
            <w:pPr>
              <w:pStyle w:val="TableContents"/>
              <w:bidi w:val="0"/>
              <w:spacing w:before="0" w:after="283"/>
              <w:jc w:val="both"/>
              <w:rPr/>
            </w:pPr>
            <w:r>
              <w:rPr/>
              <w:t>Derivative</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 are initially recognized at fair value on the date a derivative contract is entered into and are subsequently remeasured to their fair value at the end of each reporting period. Changes in fair value of derivatives are recognized in the profit or loss.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FINANCIAL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an impairment loss allowance for expected credit losses on a financial asset that is measured at amortized cost.</w:t>
      </w:r>
    </w:p>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recognizes allowance for impairment loss for trade receivables based on the simplified approach in accordance with IFRS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and measures the allowance for impairment loss based on a lifetime expected credit loss from initial recognition.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Lifetime expected credit losses are the expected credit losses that result from all possible default events over the expected life of the asset, while twelve-month expected credit losses are the portion of expected credit losses that result from default events that are possible within the twelve (12) months after the reporting date. The maximum period considered when estimating expected credit losses is the maximum contractual period over which the Group are exposed to credit risk.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the Group assesses whether there has been a significant increase in credit risk for financial assets other than trade receivables by comparing the risk of default occurring over the expected life with the risk of default since initial recognition. For those in which the credit risk has not increased significantly since initial recognition of the financial asset, twelve-month expected credit losses along with gross interest income are recognized. For those in which credit risk has increased significantly, lifetime expected credit losses along with the gross interest income are recognized. For those that are determined to be credit impaired, lifetime expected credit losses along with interest income on a net basis are recognized.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historical credit loss experience and observable data such as current changes and future forecasts in economic conditions to estimate the amount of expected impairment loss. The methodology and assumptions including any forecasts of future economic conditions are reviewed regularly.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financial asset is reduced through the use of an allowance for impairment loss account and the amount of impairment loss is recognized in profit or loss. When a financial asset becomes uncollectible, it is written off against the allowance for impairment loss account.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COSTS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costs that are directly attributable to the acquisition, construction or production of a qualifying asset is capitalized as part of the cost of the asset until when substantially all the activities necessary to prepare the asset for its intended use or sale are complete, after which such expense is charged to profit or loss. A qualifying asset is an asset that necessarily takes a substantial period of time to get ready for its intended use or sale. Capitalization of borrowing cost is suspended during extended periods in which active development is interrupted.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borrowing costs eligible for capitalization is the actual borrowing costs incurred on the borrowing during the period less any investment income on the temporary investment of the borrowing.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borrowing costs are recognized in profit or loss in the period in which they are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to depict the transfer of promised goods or services to customers in an amount that reflects the consideration to which the Group expects to be entitled in exchange for those goods or services. the Group uses a five-step approach to recognize revenue:</w:t>
      </w:r>
    </w:p>
    <w:p>
      <w:pPr>
        <w:pStyle w:val="TextBody"/>
        <w:bidi w:val="0"/>
        <w:spacing w:before="0" w:after="0"/>
        <w:ind w:left="1440" w:right="0" w:hanging="48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pPr>
            <w:r>
              <w:rPr/>
              <w:t>Step 1: Identify the contract(s) with a client</w:t>
            </w:r>
          </w:p>
        </w:tc>
      </w:tr>
    </w:tbl>
    <w:p>
      <w:pPr>
        <w:pStyle w:val="TextBody"/>
        <w:bidi w:val="0"/>
        <w:spacing w:before="0" w:after="0"/>
        <w:ind w:left="1440" w:right="0" w:hanging="48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pPr>
            <w:r>
              <w:rPr/>
              <w:t>Step 2: Identify the performance obligations in the contract</w:t>
            </w:r>
          </w:p>
        </w:tc>
      </w:tr>
    </w:tbl>
    <w:p>
      <w:pPr>
        <w:pStyle w:val="TextBody"/>
        <w:bidi w:val="0"/>
        <w:spacing w:before="0" w:after="0"/>
        <w:ind w:left="1440" w:right="0" w:hanging="48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pPr>
            <w:r>
              <w:rPr/>
              <w:t>Step 3: Determine the transaction price</w:t>
            </w:r>
          </w:p>
        </w:tc>
      </w:tr>
    </w:tbl>
    <w:p>
      <w:pPr>
        <w:pStyle w:val="TextBody"/>
        <w:bidi w:val="0"/>
        <w:spacing w:before="0" w:after="0"/>
        <w:ind w:left="1440" w:right="0" w:hanging="48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pPr>
            <w:r>
              <w:rPr/>
              <w:t>Step 4: Allocate the transaction price to the performance obligations in the contract</w:t>
            </w:r>
          </w:p>
        </w:tc>
      </w:tr>
    </w:tbl>
    <w:p>
      <w:pPr>
        <w:pStyle w:val="TextBody"/>
        <w:bidi w:val="0"/>
        <w:spacing w:before="0" w:after="0"/>
        <w:ind w:left="1440" w:right="0" w:hanging="48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pPr>
            <w:r>
              <w:rPr/>
              <w:t>Step 5: Recognize revenue when (or as) the Group satisfies a performance obligation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when (or as) a performance obligation is satisfied, i.e., when “control” of the services underlying the particular performance obligations is transferred to clients.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represents a service (or a bundle of services) that is distinct or a series of distinct services that are substantially the same.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is transferred over time and revenue is recognized over time by reference to the progress towards complete satisfaction of the relevant performance obligation if one of the following criteria is met:</w:t>
      </w:r>
    </w:p>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client simultaneously receives and consumes the benefits provided by the Group’s performance as the Group performs;</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Group’s performance creates or enhances an asset that the client controls as the asset is created or enhanced; or</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Group’s performance does not create an asset with an alternative use to the Group and the Group has an enforceable right to payment for performance completed to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revenue is recognized at a point in time when the customer obtains control of the distinct service.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from the following major sources:</w:t>
      </w:r>
    </w:p>
    <w:p>
      <w:pPr>
        <w:pStyle w:val="TextBody"/>
        <w:bidi w:val="0"/>
        <w:spacing w:before="0" w:after="0"/>
        <w:ind w:left="1440" w:right="0" w:hanging="48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pPr>
            <w:r>
              <w:rPr/>
              <w:t>Sales of goods;</w:t>
            </w:r>
          </w:p>
        </w:tc>
      </w:tr>
    </w:tbl>
    <w:p>
      <w:pPr>
        <w:pStyle w:val="TextBody"/>
        <w:bidi w:val="0"/>
        <w:spacing w:before="0" w:after="0"/>
        <w:ind w:left="1440" w:right="0" w:hanging="48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17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both"/>
              <w:rPr/>
            </w:pPr>
            <w:r>
              <w:rPr/>
              <w:t>Service fee;</w:t>
            </w:r>
          </w:p>
        </w:tc>
      </w:tr>
    </w:tbl>
    <w:p>
      <w:pPr>
        <w:pStyle w:val="TextBody"/>
        <w:bidi w:val="0"/>
        <w:spacing w:before="0" w:after="0"/>
        <w:ind w:left="1440" w:right="0" w:hanging="48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Rental income.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goods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sales of amphibious vehicles to the customers. The Group will typically receive purchase orders from its customers which will set forth products design, quantity to be delivered, the transaction price, terms of delivery and terms of payment. The terms serve as the basis of the performance obligations that the Group must fulfill in order to recognize revenue. The key performance obligation is the delivery of the finished product to the customer at their location at which point title to that asset passes to the customer. Revenue is recognized at a point in time when control of the goods has transferred, being when the goods have been shipped to the customer according to respective orders’ shipping terms. There are no long standing contracts with these brands and retailers.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sold by the Group are not given right of return. The Group offer a standard warranty on certain products. The provision for warranty is based on estimates from known and expected warranty work to be performed after sale of goods. The actual warranty expense incurred could differ from the provision made. This warranty covers defects in products under normal usage conditions. No extended warranty options are available beyond the standard warranty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fee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fee includes repair, installation, dismantling, freight management and so on which provided on ad hoc basis. Services fee revenue is recognized over time as services are rendered.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Rental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includes rental of heavy machineries to customers on long term basis as well as ad hoc basis. rental income revenue is recognized over time over the period of tenancy.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accrued on a time basis, by reference to the principal outstanding and at the effective interest rate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represents the sum of the tax currently payable and deferred tax.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currently payable is based on taxable profit for the year. Taxable profit differs from profit/(loss) before tax because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recognized on temporary differences between the carrying amounts of assets and liabilities in the financial statements and the corresponding tax bases used in the computation of taxable profit. Deferred tax liabilities are generally recognized for all taxable temporary differences. Deferred tax assets are generally recognized for all deductible temporary differences to the extent that it is probable that taxable profits will be available against which those deductible temporary differences can be utilized. Such deferred tax assets and liabilities are not recognized if the temporary difference arises from the initial recognition (other than in a business combination) of assets and liabilities in a transaction that affects neither the taxable profit nor the accounting profit. In addition, deferred tax liabilities are not recognized if the temporary difference arises from the initial recognition of goodwill.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at the end of each reporting period and reduced to the extent that it is no longer probable that sufficient taxable profits will be available to allow all or part of the asset to be recovered.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at the tax rates that are expected to apply in the period in which the liability is settled or the asset is realized, based on tax rate (and tax laws) that have been enacted or substantively enacted by the end of the reporting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deferred tax liabilities and assets reflects the tax consequences that would follow from the manner in which the Group expects, at the end of the reporting period, to recover or settle the carrying amount of its assets and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when there is a legally enforceable right to set off current tax assets against current tax liabilities and when they relate to income taxes levied to the same taxable entity by the same taxation authority.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deferred tax are recognized in profit or loss, except when they relate to items that are recognized in other comprehensive income or directly in equity, in which case, the current and deferred tax are also recognized in other comprehensive income or directly in equity respectively. Where current tax or deferred tax arises from the initial accounting for a business combination, the tax effect is included in the accounting for the business combination.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benefits are recognized as an expense, unless the cost qualifies to be capitalized as an asset.</w:t>
      </w:r>
    </w:p>
    <w:p>
      <w:pPr>
        <w:pStyle w:val="TextBody"/>
        <w:bidi w:val="0"/>
        <w:spacing w:before="0" w:after="0"/>
        <w:ind w:left="960" w:right="0" w:hanging="48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9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(a)</w:t>
            </w:r>
          </w:p>
        </w:tc>
        <w:tc>
          <w:tcPr>
            <w:tcW w:w="2570" w:type="dxa"/>
            <w:tcBorders/>
            <w:vAlign w:val="center"/>
          </w:tcPr>
          <w:p>
            <w:pPr>
              <w:pStyle w:val="TableContents"/>
              <w:bidi w:val="0"/>
              <w:spacing w:before="0" w:after="283"/>
              <w:jc w:val="both"/>
              <w:rPr>
                <w:i/>
              </w:rPr>
            </w:pPr>
            <w:r>
              <w:rPr>
                <w:i/>
              </w:rPr>
              <w:t>Defined contribution plans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contribution plans are post-employment benefit plans under which the Group pays fixed contributions into separate entities such as the Employee Provident Fund on a mandatory, contractual or voluntary basis. The Group has no further payment obligations once the contributions have been paid.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29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(b)</w:t>
            </w:r>
          </w:p>
        </w:tc>
        <w:tc>
          <w:tcPr>
            <w:tcW w:w="2630" w:type="dxa"/>
            <w:tcBorders/>
            <w:vAlign w:val="center"/>
          </w:tcPr>
          <w:p>
            <w:pPr>
              <w:pStyle w:val="TableContents"/>
              <w:bidi w:val="0"/>
              <w:spacing w:before="0" w:after="283"/>
              <w:jc w:val="both"/>
              <w:rPr>
                <w:i/>
              </w:rPr>
            </w:pPr>
            <w:r>
              <w:rPr>
                <w:i/>
              </w:rPr>
              <w:t>Employee leave entitlement</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entitlements to annual leave are recognized when they accrue to employees. A provision is made for the estimated liability for annual leave as a result of services rendered by employees up to the balance sheet date.</w:t>
      </w:r>
    </w:p>
    <w:p>
      <w:pPr>
        <w:pStyle w:val="TextBody"/>
        <w:bidi w:val="0"/>
        <w:spacing w:before="0" w:after="0"/>
        <w:ind w:left="960" w:right="0" w:hanging="48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275"/>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i/>
              </w:rPr>
            </w:pPr>
            <w:r>
              <w:rPr>
                <w:i/>
              </w:rPr>
              <w:t>(c)</w:t>
            </w:r>
          </w:p>
        </w:tc>
        <w:tc>
          <w:tcPr>
            <w:tcW w:w="2795" w:type="dxa"/>
            <w:tcBorders/>
            <w:vAlign w:val="center"/>
          </w:tcPr>
          <w:p>
            <w:pPr>
              <w:pStyle w:val="TableContents"/>
              <w:bidi w:val="0"/>
              <w:spacing w:before="0" w:after="283"/>
              <w:jc w:val="both"/>
              <w:rPr>
                <w:i/>
              </w:rPr>
            </w:pPr>
            <w:r>
              <w:rPr>
                <w:i/>
              </w:rPr>
              <w:t>Short-term employee benefits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employee benefit obligations are measured on an undiscounted basis and are expensed as the related service is provided. 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w:t>
      </w:r>
    </w:p>
    <w:p>
      <w:pPr>
        <w:pStyle w:val="TextBody"/>
        <w:bidi w:val="0"/>
        <w:spacing w:before="0" w:after="0"/>
        <w:ind w:left="960" w:right="0" w:hanging="48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29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(d)</w:t>
            </w:r>
          </w:p>
        </w:tc>
        <w:tc>
          <w:tcPr>
            <w:tcW w:w="2135" w:type="dxa"/>
            <w:tcBorders/>
            <w:vAlign w:val="center"/>
          </w:tcPr>
          <w:p>
            <w:pPr>
              <w:pStyle w:val="TableContents"/>
              <w:bidi w:val="0"/>
              <w:spacing w:before="0" w:after="283"/>
              <w:jc w:val="both"/>
              <w:rPr>
                <w:i/>
              </w:rPr>
            </w:pPr>
            <w:r>
              <w:rPr>
                <w:i/>
              </w:rPr>
              <w:t>Defined benefits plans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 in Indonesia provide for Post-employment benefit obligations for eligible employees on unfunded defined benefit basis in accordance with the Labour Law in Indonesia. The obligations of the defined benefit plans are calculated as the present values of obligations at end of the reporting period using the projected unit credit method which is based on the last drawn salaries at the end of the reporting period, age and the length of service.</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and interest costs are recognized in profit or loss. Remeasurements of the defined benefit plans which comprise actuarial gains and losses are recognized in other comprehensive income in the year in which they occur.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presentation in the statements of cash flows, cash and cash equivalents include cash on hand, deposits with financial institutions which are subject to an insignificant risk of change in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 Incremental costs directly attributable to the issuance of new ordinary shares are deducted against the share capital account.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ordinary shares are entitled to receive dividends as declared from time to time, and are entitled to one vote per share at meetings of the Company. In respect of the Company’s treasury shares that are held by the Company, all rights are suspended until those shares are reissued.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Retained earnings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comprise the cumulative net profits recognized in the Group’s consolidated statements of comprehensive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reserve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currency translation reserve is used to record foreign currency exchange differences arising from the translation of the financial statements of a foreign operation whose functional currency is different from that of the presentation currency of the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72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5"/>
        <w:gridCol w:w="6680"/>
      </w:tblGrid>
      <w:tr>
        <w:trPr/>
        <w:tc>
          <w:tcPr>
            <w:tcW w:w="155" w:type="dxa"/>
            <w:tcBorders/>
            <w:vAlign w:val="center"/>
          </w:tcPr>
          <w:p>
            <w:pPr>
              <w:pStyle w:val="TableContents"/>
              <w:bidi w:val="0"/>
              <w:spacing w:before="0" w:after="283"/>
              <w:jc w:val="left"/>
              <w:rPr>
                <w:b/>
              </w:rPr>
            </w:pPr>
            <w:r>
              <w:rPr>
                <w:b/>
              </w:rPr>
              <w:t>2</w:t>
            </w:r>
          </w:p>
        </w:tc>
        <w:tc>
          <w:tcPr>
            <w:tcW w:w="6680" w:type="dxa"/>
            <w:tcBorders/>
            <w:vAlign w:val="center"/>
          </w:tcPr>
          <w:p>
            <w:pPr>
              <w:pStyle w:val="TableContents"/>
              <w:bidi w:val="0"/>
              <w:spacing w:before="0" w:after="283"/>
              <w:jc w:val="both"/>
              <w:rPr/>
            </w:pPr>
            <w:r>
              <w:rPr>
                <w:b/>
              </w:rPr>
              <w:t>MATERIAL ACCOUNTING POLICY INFORMATION</w:t>
            </w:r>
            <w:r>
              <w:rPr/>
              <w:t xml:space="preserve"> (cont.)</w:t>
            </w:r>
          </w:p>
        </w:tc>
      </w:tr>
    </w:tbl>
    <w:p>
      <w:pPr>
        <w:pStyle w:val="TextBody"/>
        <w:bidi w:val="0"/>
        <w:spacing w:before="0" w:after="0"/>
        <w:ind w:left="72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PARTIES</w:t>
      </w:r>
    </w:p>
    <w:p>
      <w:pPr>
        <w:pStyle w:val="TextBody"/>
        <w:bidi w:val="0"/>
        <w:spacing w:before="0" w:after="0"/>
        <w:ind w:left="960" w:right="0" w:hanging="48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75"/>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495" w:type="dxa"/>
            <w:tcBorders/>
            <w:vAlign w:val="center"/>
          </w:tcPr>
          <w:p>
            <w:pPr>
              <w:pStyle w:val="TableContents"/>
              <w:bidi w:val="0"/>
              <w:spacing w:before="0" w:after="283"/>
              <w:jc w:val="both"/>
              <w:rPr/>
            </w:pPr>
            <w:r>
              <w:rPr/>
              <w:t>A person, or a close member of that person’s family, is related to the Group if that person:</w:t>
            </w:r>
          </w:p>
        </w:tc>
      </w:tr>
    </w:tbl>
    <w:p>
      <w:pPr>
        <w:pStyle w:val="TextBody"/>
        <w:bidi w:val="0"/>
        <w:spacing w:before="0" w:after="0"/>
        <w:ind w:left="1440" w:right="0" w:hanging="480"/>
        <w:jc w:val="both"/>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3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4085" w:type="dxa"/>
            <w:tcBorders/>
            <w:vAlign w:val="center"/>
          </w:tcPr>
          <w:p>
            <w:pPr>
              <w:pStyle w:val="TableContents"/>
              <w:bidi w:val="0"/>
              <w:spacing w:before="0" w:after="283"/>
              <w:jc w:val="both"/>
              <w:rPr/>
            </w:pPr>
            <w:r>
              <w:rPr/>
              <w:t>has control or joint control over the Group;</w:t>
            </w:r>
          </w:p>
        </w:tc>
      </w:tr>
    </w:tbl>
    <w:p>
      <w:pPr>
        <w:pStyle w:val="TextBody"/>
        <w:bidi w:val="0"/>
        <w:spacing w:before="0" w:after="0"/>
        <w:ind w:left="1440" w:right="0" w:hanging="48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29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130" w:type="dxa"/>
            <w:tcBorders/>
            <w:vAlign w:val="center"/>
          </w:tcPr>
          <w:p>
            <w:pPr>
              <w:pStyle w:val="TableContents"/>
              <w:bidi w:val="0"/>
              <w:spacing w:before="0" w:after="283"/>
              <w:jc w:val="both"/>
              <w:rPr/>
            </w:pPr>
            <w:r>
              <w:rPr/>
              <w:t>has significant influence over the Group; or</w:t>
            </w:r>
          </w:p>
        </w:tc>
      </w:tr>
    </w:tbl>
    <w:p>
      <w:pPr>
        <w:pStyle w:val="TextBody"/>
        <w:bidi w:val="0"/>
        <w:spacing w:before="0" w:after="0"/>
        <w:ind w:left="1440" w:right="0" w:hanging="48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35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7835" w:type="dxa"/>
            <w:tcBorders/>
            <w:vAlign w:val="center"/>
          </w:tcPr>
          <w:p>
            <w:pPr>
              <w:pStyle w:val="TableContents"/>
              <w:bidi w:val="0"/>
              <w:spacing w:before="0" w:after="283"/>
              <w:jc w:val="both"/>
              <w:rPr/>
            </w:pPr>
            <w:r>
              <w:rPr/>
              <w:t>is a member of the key management personnel of the Group or the Group’s parent.</w:t>
            </w:r>
          </w:p>
        </w:tc>
      </w:tr>
    </w:tbl>
    <w:p>
      <w:pPr>
        <w:pStyle w:val="TextBody"/>
        <w:bidi w:val="0"/>
        <w:spacing w:before="0" w:after="0"/>
        <w:ind w:left="960" w:right="0" w:hanging="48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29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070" w:type="dxa"/>
            <w:tcBorders/>
            <w:vAlign w:val="center"/>
          </w:tcPr>
          <w:p>
            <w:pPr>
              <w:pStyle w:val="TableContents"/>
              <w:bidi w:val="0"/>
              <w:spacing w:before="0" w:after="283"/>
              <w:jc w:val="both"/>
              <w:rPr/>
            </w:pPr>
            <w:r>
              <w:rPr/>
              <w:t>An entity is related to the Group if any of the following conditions applies:</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(i)</w:t>
            </w:r>
          </w:p>
        </w:tc>
        <w:tc>
          <w:tcPr>
            <w:tcW w:w="9960" w:type="dxa"/>
            <w:tcBorders/>
            <w:vAlign w:val="center"/>
          </w:tcPr>
          <w:p>
            <w:pPr>
              <w:pStyle w:val="TableContents"/>
              <w:bidi w:val="0"/>
              <w:spacing w:before="0" w:after="283"/>
              <w:jc w:val="both"/>
              <w:rPr/>
            </w:pPr>
            <w:r>
              <w:rPr/>
              <w:t>The entity and the Group are members of the same group (which means that each parent, subsidiary and fellow subsidiary is related to the others).</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(ii)</w:t>
            </w:r>
          </w:p>
        </w:tc>
        <w:tc>
          <w:tcPr>
            <w:tcW w:w="9904" w:type="dxa"/>
            <w:tcBorders/>
            <w:vAlign w:val="center"/>
          </w:tcPr>
          <w:p>
            <w:pPr>
              <w:pStyle w:val="TableContents"/>
              <w:bidi w:val="0"/>
              <w:spacing w:before="0" w:after="283"/>
              <w:jc w:val="both"/>
              <w:rPr/>
            </w:pPr>
            <w:r>
              <w:rPr/>
              <w:t>One entity is an associate or joint venture of the other entity (or an associate or joint venture of a member of the Group of which the other entity is a member).</w:t>
            </w:r>
          </w:p>
        </w:tc>
      </w:tr>
    </w:tbl>
    <w:p>
      <w:pPr>
        <w:pStyle w:val="TextBody"/>
        <w:bidi w:val="0"/>
        <w:spacing w:before="0" w:after="0"/>
        <w:ind w:left="960" w:right="0" w:hanging="0"/>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35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135" w:type="dxa"/>
            <w:tcBorders/>
            <w:vAlign w:val="center"/>
          </w:tcPr>
          <w:p>
            <w:pPr>
              <w:pStyle w:val="TableContents"/>
              <w:bidi w:val="0"/>
              <w:spacing w:before="0" w:after="283"/>
              <w:jc w:val="both"/>
              <w:rPr/>
            </w:pPr>
            <w:r>
              <w:rPr/>
              <w:t>Both entities are joint ventures of the same third party.</w:t>
            </w:r>
          </w:p>
        </w:tc>
      </w:tr>
    </w:tbl>
    <w:p>
      <w:pPr>
        <w:pStyle w:val="TextBody"/>
        <w:bidi w:val="0"/>
        <w:spacing w:before="0" w:after="0"/>
        <w:ind w:left="1440" w:right="0" w:hanging="48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35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9155" w:type="dxa"/>
            <w:tcBorders/>
            <w:vAlign w:val="center"/>
          </w:tcPr>
          <w:p>
            <w:pPr>
              <w:pStyle w:val="TableContents"/>
              <w:bidi w:val="0"/>
              <w:spacing w:before="0" w:after="283"/>
              <w:jc w:val="both"/>
              <w:rPr/>
            </w:pPr>
            <w:r>
              <w:rPr/>
              <w:t>One entity is a joint venture of a third entity and the other entity is an associate of the third entity.</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(v)</w:t>
            </w:r>
          </w:p>
        </w:tc>
        <w:tc>
          <w:tcPr>
            <w:tcW w:w="9892" w:type="dxa"/>
            <w:tcBorders/>
            <w:vAlign w:val="center"/>
          </w:tcPr>
          <w:p>
            <w:pPr>
              <w:pStyle w:val="TableContents"/>
              <w:bidi w:val="0"/>
              <w:spacing w:before="0" w:after="283"/>
              <w:jc w:val="both"/>
              <w:rPr/>
            </w:pPr>
            <w:r>
              <w:rPr/>
              <w:t>The entity is a post-employment benefit plan for the benefit of employees of either the Group or an entity related to the Group.</w:t>
            </w:r>
          </w:p>
        </w:tc>
      </w:tr>
    </w:tbl>
    <w:p>
      <w:pPr>
        <w:pStyle w:val="TextBody"/>
        <w:bidi w:val="0"/>
        <w:spacing w:before="0" w:after="0"/>
        <w:ind w:left="960" w:right="0" w:hanging="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35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(vi)</w:t>
            </w:r>
          </w:p>
        </w:tc>
        <w:tc>
          <w:tcPr>
            <w:tcW w:w="6845" w:type="dxa"/>
            <w:tcBorders/>
            <w:vAlign w:val="center"/>
          </w:tcPr>
          <w:p>
            <w:pPr>
              <w:pStyle w:val="TableContents"/>
              <w:bidi w:val="0"/>
              <w:spacing w:before="0" w:after="283"/>
              <w:jc w:val="both"/>
              <w:rPr/>
            </w:pPr>
            <w:r>
              <w:rPr/>
              <w:t>The entity is controlled or jointly controlled by a person identified in (a).</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1"/>
        <w:gridCol w:w="9786"/>
      </w:tblGrid>
      <w:tr>
        <w:trPr/>
        <w:tc>
          <w:tcPr>
            <w:tcW w:w="3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(vii)</w:t>
            </w:r>
          </w:p>
        </w:tc>
        <w:tc>
          <w:tcPr>
            <w:tcW w:w="9786" w:type="dxa"/>
            <w:tcBorders/>
            <w:vAlign w:val="center"/>
          </w:tcPr>
          <w:p>
            <w:pPr>
              <w:pStyle w:val="TableContents"/>
              <w:bidi w:val="0"/>
              <w:spacing w:before="0" w:after="283"/>
              <w:jc w:val="both"/>
              <w:rPr/>
            </w:pPr>
            <w:r>
              <w:rPr/>
              <w:t>A person identified in (a)(i) has significant influence over the entity or is a member of the key management personnel of the entity (or of a parent of the entity).</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7"/>
        <w:gridCol w:w="9750"/>
      </w:tblGrid>
      <w:tr>
        <w:trPr/>
        <w:tc>
          <w:tcPr>
            <w:tcW w:w="3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pPr>
            <w:r>
              <w:rPr/>
              <w:t>(viii)</w:t>
            </w:r>
          </w:p>
        </w:tc>
        <w:tc>
          <w:tcPr>
            <w:tcW w:w="9750" w:type="dxa"/>
            <w:tcBorders/>
            <w:vAlign w:val="center"/>
          </w:tcPr>
          <w:p>
            <w:pPr>
              <w:pStyle w:val="TableContents"/>
              <w:bidi w:val="0"/>
              <w:spacing w:before="0" w:after="283"/>
              <w:jc w:val="both"/>
              <w:rPr/>
            </w:pPr>
            <w:r>
              <w:rPr/>
              <w:t>The entity, or any member of entity’s group which it is a part, provides key management personnel services to the Group or to the Group’s parent. Close members of the family of a person are those family members who may be expected to influence, or be influenced by, that person in their dealings with the entity.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(LOSS)/EARNINGS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basic and diluted earnings per share data for its ordinary shares. Basic (loss)/earnings per share is calculated by dividing the profit or loss attributable to ordinary shareholders of the Group by the weighted-average number of ordinary shares outstanding during the year, adjusted for own shares held, if any. Diluted (loss)/earnings per share is determined by adjusting the profit or loss attributable to ordinary shareholders and the weighted-average number of ordinary shares outstanding, adjusted for own shares held, if any, for the effects of all dilutive potential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and the amounts of each segment item reported in the financial statements, are identified from the financial information provided regularly to the Group’s most senior executive management for the purposes of allocating resources to, and assessing the performance of, the Group’s various lines of business and geographical locations.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Individually material operating segments are not aggregated for financial reporting purposes unless the segments have similar economic characteristics and are similar in respect of the nature of products and services, the nature of production processes, the type or class of customers, the methods used to distribute the products or provide the services, and the nature of the regulatory environment. Operating segments which are not individually material may be aggregated if they share a majority of these criteria.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155"/>
        <w:gridCol w:w="8735"/>
      </w:tblGrid>
      <w:tr>
        <w:trPr/>
        <w:tc>
          <w:tcPr>
            <w:tcW w:w="155" w:type="dxa"/>
            <w:tcBorders/>
            <w:vAlign w:val="center"/>
          </w:tcPr>
          <w:p>
            <w:pPr>
              <w:pStyle w:val="TableContents"/>
              <w:bidi w:val="0"/>
              <w:spacing w:before="0" w:after="283"/>
              <w:jc w:val="left"/>
              <w:rPr>
                <w:b/>
              </w:rPr>
            </w:pPr>
            <w:r>
              <w:rPr>
                <w:b/>
              </w:rPr>
              <w:t>3</w:t>
            </w:r>
          </w:p>
        </w:tc>
        <w:tc>
          <w:tcPr>
            <w:tcW w:w="8735" w:type="dxa"/>
            <w:tcBorders/>
            <w:vAlign w:val="center"/>
          </w:tcPr>
          <w:p>
            <w:pPr>
              <w:pStyle w:val="TableContents"/>
              <w:bidi w:val="0"/>
              <w:spacing w:before="0" w:after="283"/>
              <w:jc w:val="both"/>
              <w:rPr>
                <w:b/>
              </w:rPr>
            </w:pPr>
            <w:r>
              <w:rPr>
                <w:b/>
              </w:rPr>
              <w:t>CRITICAL ACCOUNTING ESTIMATES, ASSUMPTIONS AND JUDGEMENTS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there are no key assumptions made concerning the future, and other key sources of estimation uncertainty at the reporting date, that have a significant risk of causing a material adjustment to the carrying amounts of the assets and liabilities within the next financial year other than as disclosed below:-</w:t>
      </w:r>
    </w:p>
    <w:p>
      <w:pPr>
        <w:pStyle w:val="TextBody"/>
        <w:bidi w:val="0"/>
        <w:spacing w:before="0" w:after="0"/>
        <w:ind w:left="960" w:right="0" w:hanging="480"/>
        <w:jc w:val="both"/>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29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u w:val="single"/>
              </w:rPr>
            </w:pPr>
            <w:r>
              <w:rPr>
                <w:i/>
                <w:u w:val="single"/>
              </w:rPr>
              <w:t>(a)</w:t>
            </w:r>
          </w:p>
        </w:tc>
        <w:tc>
          <w:tcPr>
            <w:tcW w:w="4835" w:type="dxa"/>
            <w:tcBorders/>
            <w:vAlign w:val="center"/>
          </w:tcPr>
          <w:p>
            <w:pPr>
              <w:pStyle w:val="TableContents"/>
              <w:bidi w:val="0"/>
              <w:spacing w:before="0" w:after="283"/>
              <w:jc w:val="both"/>
              <w:rPr>
                <w:i/>
                <w:u w:val="single"/>
              </w:rPr>
            </w:pPr>
            <w:r>
              <w:rPr>
                <w:i/>
                <w:u w:val="single"/>
              </w:rPr>
              <w:t>Allowance for expected credit losses of receivables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simplified approach to estimate a lifetime expected credit loss allowance for all trade receivables. The Group develops the expected loss rates based on the payment profiles of past sales and the corresponding historical credit losses, and adjusts for qualitative and quantitative reasonable and supportable forward-looking information. If the expectation is different from the estimation, such difference will impact the carrying value of trade receivables.</w:t>
      </w:r>
    </w:p>
    <w:p>
      <w:pPr>
        <w:pStyle w:val="TextBody"/>
        <w:bidi w:val="0"/>
        <w:spacing w:before="0" w:after="0"/>
        <w:ind w:left="960" w:right="0" w:hanging="48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29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u w:val="single"/>
              </w:rPr>
            </w:pPr>
            <w:r>
              <w:rPr>
                <w:i/>
                <w:u w:val="single"/>
              </w:rPr>
              <w:t>(b)</w:t>
            </w:r>
          </w:p>
        </w:tc>
        <w:tc>
          <w:tcPr>
            <w:tcW w:w="3770" w:type="dxa"/>
            <w:tcBorders/>
            <w:vAlign w:val="center"/>
          </w:tcPr>
          <w:p>
            <w:pPr>
              <w:pStyle w:val="TableContents"/>
              <w:bidi w:val="0"/>
              <w:spacing w:before="0" w:after="283"/>
              <w:jc w:val="both"/>
              <w:rPr>
                <w:i/>
                <w:u w:val="single"/>
              </w:rPr>
            </w:pPr>
            <w:r>
              <w:rPr>
                <w:i/>
                <w:u w:val="single"/>
              </w:rPr>
              <w:t>Allowance for inventories obsolescence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whether an allowance is required for inventories obsolescence or slow-moving stock or for any shortfall in net realizable value of inventories by reviewing the inventory listing on a periodic basis (at least on an annual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net realizable value is subject to significant estimation uncertainty, in particular because the salability and margins of products are affected by factors such as changing consumer demand, technology trends, supply-related scarcity, and economic uncertainties. There is significant management judgement involved in setting expectations about future sales of slow-moving inventories items.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review involves, but not limited to, an analysis of the inventories ageing, a comparison of the carrying value of the inventory items with the respective net realizable value as well as the forecasted demand for the inventories. Arising from the review, management sets up the necessary allowance for obsolete and slow-moving inventories or for any short fall in the net realizable value of the inventories.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into account factors impacting the inventory provisioning including trading assumptions being 10% higher or lower than expected, this would result a potential outcome in an increase or decrease of the allowance for inventory obsolescence amounting to approximately USD859,000 (2024: USD676,000; 2023: USD499,000) in profit or loss.</w:t>
      </w:r>
    </w:p>
    <w:p>
      <w:pPr>
        <w:pStyle w:val="TextBody"/>
        <w:bidi w:val="0"/>
        <w:spacing w:before="0" w:after="0"/>
        <w:ind w:left="960" w:right="0" w:hanging="48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275"/>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i/>
                <w:u w:val="single"/>
              </w:rPr>
            </w:pPr>
            <w:r>
              <w:rPr>
                <w:i/>
                <w:u w:val="single"/>
              </w:rPr>
              <w:t>(c)</w:t>
            </w:r>
          </w:p>
        </w:tc>
        <w:tc>
          <w:tcPr>
            <w:tcW w:w="1655" w:type="dxa"/>
            <w:tcBorders/>
            <w:vAlign w:val="center"/>
          </w:tcPr>
          <w:p>
            <w:pPr>
              <w:pStyle w:val="TableContents"/>
              <w:bidi w:val="0"/>
              <w:spacing w:before="0" w:after="283"/>
              <w:jc w:val="both"/>
              <w:rPr>
                <w:i/>
                <w:u w:val="single"/>
              </w:rPr>
            </w:pPr>
            <w:r>
              <w:rPr>
                <w:i/>
                <w:u w:val="single"/>
              </w:rPr>
              <w:t>Common control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assessed the impact of a restructuring event involving a change in the pool of investors. Management has exercised judgment in determining that the transaction qualifies as a common control exist, based on an analysis of the ownership structure and control relationships before and after the restructuring. This judgment is predicated on the assumption that the ultimate controlling parties remain substantially the same, with the current pool of investors reflecting continuity of control. The determination involves evaluating the relative voting rights, economic interests, and decision-making authority held by the investors pre- and post-restructuring. This assessment has a significant impact on the consolidation of entities and the recognition of any gain or loss arising from the transaction. The key assumptions underlying this judgment include the stability of the investor pool and the absence of a substantive change in control, which are subject to uncertainty and may require adjustment in future periods if new information becomes available.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55"/>
        <w:gridCol w:w="4505"/>
      </w:tblGrid>
      <w:tr>
        <w:trPr/>
        <w:tc>
          <w:tcPr>
            <w:tcW w:w="155" w:type="dxa"/>
            <w:tcBorders/>
            <w:vAlign w:val="center"/>
          </w:tcPr>
          <w:p>
            <w:pPr>
              <w:pStyle w:val="TableContents"/>
              <w:bidi w:val="0"/>
              <w:spacing w:before="0" w:after="283"/>
              <w:jc w:val="left"/>
              <w:rPr>
                <w:b/>
              </w:rPr>
            </w:pPr>
            <w:r>
              <w:rPr>
                <w:b/>
              </w:rPr>
              <w:t>4</w:t>
            </w:r>
          </w:p>
        </w:tc>
        <w:tc>
          <w:tcPr>
            <w:tcW w:w="4505" w:type="dxa"/>
            <w:tcBorders/>
            <w:vAlign w:val="center"/>
          </w:tcPr>
          <w:p>
            <w:pPr>
              <w:pStyle w:val="TableContents"/>
              <w:bidi w:val="0"/>
              <w:spacing w:before="0" w:after="283"/>
              <w:jc w:val="both"/>
              <w:rPr>
                <w:b/>
              </w:rPr>
            </w:pPr>
            <w:r>
              <w:rPr>
                <w:b/>
              </w:rPr>
              <w:t>PROPERTY, PLANT AND EQUIPMENT</w:t>
            </w:r>
          </w:p>
        </w:tc>
      </w:tr>
    </w:tbl>
    <w:p>
      <w:pPr>
        <w:pStyle w:val="TextBody"/>
        <w:bidi w:val="0"/>
        <w:spacing w:before="0" w:after="0"/>
        <w:ind w:left="480" w:right="0" w:hanging="480"/>
        <w:jc w:val="both"/>
        <w:rPr>
          <w:caps w:val="false"/>
          <w:smallCaps w:val="false"/>
        </w:rPr>
      </w:pPr>
      <w:r>
        <w:rPr>
          <w:caps w:val="false"/>
          <w:smallCaps w:val="false"/>
        </w:rPr>
        <w:t> </w:t>
      </w:r>
    </w:p>
    <w:tbl>
      <w:tblPr>
        <w:tblW w:w="9717" w:type="dxa"/>
        <w:jc w:val="left"/>
        <w:tblInd w:w="0" w:type="dxa"/>
        <w:tblLayout w:type="fixed"/>
        <w:tblCellMar>
          <w:top w:w="0" w:type="dxa"/>
          <w:left w:w="0" w:type="dxa"/>
          <w:bottom w:w="0" w:type="dxa"/>
          <w:right w:w="0" w:type="dxa"/>
        </w:tblCellMar>
      </w:tblPr>
      <w:tblGrid>
        <w:gridCol w:w="2525"/>
        <w:gridCol w:w="60"/>
        <w:gridCol w:w="111"/>
        <w:gridCol w:w="1048"/>
        <w:gridCol w:w="60"/>
        <w:gridCol w:w="60"/>
        <w:gridCol w:w="137"/>
        <w:gridCol w:w="873"/>
        <w:gridCol w:w="60"/>
        <w:gridCol w:w="60"/>
        <w:gridCol w:w="112"/>
        <w:gridCol w:w="853"/>
        <w:gridCol w:w="95"/>
        <w:gridCol w:w="60"/>
        <w:gridCol w:w="177"/>
        <w:gridCol w:w="772"/>
        <w:gridCol w:w="60"/>
        <w:gridCol w:w="60"/>
        <w:gridCol w:w="169"/>
        <w:gridCol w:w="946"/>
        <w:gridCol w:w="95"/>
        <w:gridCol w:w="60"/>
        <w:gridCol w:w="114"/>
        <w:gridCol w:w="1075"/>
        <w:gridCol w:w="75"/>
      </w:tblGrid>
      <w:tr>
        <w:trPr/>
        <w:tc>
          <w:tcPr>
            <w:tcW w:w="25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2024</w:t>
            </w:r>
          </w:p>
        </w:tc>
        <w:tc>
          <w:tcPr>
            <w:tcW w:w="75" w:type="dxa"/>
            <w:tcBorders/>
            <w:vAlign w:val="center"/>
          </w:tcPr>
          <w:p>
            <w:pPr>
              <w:pStyle w:val="TableContents"/>
              <w:bidi w:val="0"/>
              <w:spacing w:before="0" w:after="283"/>
              <w:ind w:left="0" w:right="0" w:hanging="180"/>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180"/>
              <w:jc w:val="left"/>
              <w:rPr/>
            </w:pPr>
            <w:r>
              <w:rPr/>
              <w:t> </w:t>
            </w:r>
          </w:p>
        </w:tc>
      </w:tr>
      <w:tr>
        <w:trPr/>
        <w:tc>
          <w:tcPr>
            <w:tcW w:w="2525" w:type="dxa"/>
            <w:tcBorders/>
            <w:vAlign w:val="center"/>
          </w:tcPr>
          <w:p>
            <w:pPr>
              <w:pStyle w:val="TableContents"/>
              <w:bidi w:val="0"/>
              <w:spacing w:before="0" w:after="283"/>
              <w:jc w:val="left"/>
              <w:rPr>
                <w:b/>
              </w:rPr>
            </w:pPr>
            <w:r>
              <w:rPr>
                <w:b/>
              </w:rPr>
              <w:t>At Cost</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Freehold factory buildings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142</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Furniture and fittings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161</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181</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147</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Plant and machinery</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935</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Renovation</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188</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Signboard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Tools and equipment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329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CCEEFF" w:val="clear"/>
            <w:tcMar>
              <w:bottom w:w="28" w:type="dxa"/>
            </w:tcMar>
            <w:vAlign w:val="center"/>
          </w:tcPr>
          <w:p>
            <w:pPr>
              <w:pStyle w:val="TableContents"/>
              <w:bidi w:val="0"/>
              <w:spacing w:before="0" w:after="283"/>
              <w:jc w:val="right"/>
              <w:rPr/>
            </w:pPr>
            <w:r>
              <w:rPr/>
              <w:t>1,688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(153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shd w:fill="CCEEFF" w:val="clear"/>
            <w:tcMar>
              <w:bottom w:w="28" w:type="dxa"/>
            </w:tcM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pPr>
            <w:r>
              <w:rPr/>
              <w:t>2,094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0"/>
        <w:gridCol w:w="60"/>
        <w:gridCol w:w="156"/>
        <w:gridCol w:w="1000"/>
        <w:gridCol w:w="60"/>
        <w:gridCol w:w="60"/>
        <w:gridCol w:w="180"/>
        <w:gridCol w:w="1145"/>
        <w:gridCol w:w="60"/>
        <w:gridCol w:w="60"/>
        <w:gridCol w:w="146"/>
        <w:gridCol w:w="819"/>
        <w:gridCol w:w="95"/>
        <w:gridCol w:w="60"/>
        <w:gridCol w:w="176"/>
        <w:gridCol w:w="771"/>
        <w:gridCol w:w="60"/>
        <w:gridCol w:w="60"/>
        <w:gridCol w:w="169"/>
        <w:gridCol w:w="946"/>
        <w:gridCol w:w="95"/>
        <w:gridCol w:w="60"/>
        <w:gridCol w:w="113"/>
        <w:gridCol w:w="1074"/>
        <w:gridCol w:w="80"/>
      </w:tblGrid>
      <w:tr>
        <w:trPr/>
        <w:tc>
          <w:tcPr>
            <w:tcW w:w="2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Depreciation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2024</w:t>
            </w:r>
          </w:p>
        </w:tc>
        <w:tc>
          <w:tcPr>
            <w:tcW w:w="80" w:type="dxa"/>
            <w:tcBorders/>
            <w:vAlign w:val="center"/>
          </w:tcPr>
          <w:p>
            <w:pPr>
              <w:pStyle w:val="TableContents"/>
              <w:bidi w:val="0"/>
              <w:spacing w:before="0" w:after="283"/>
              <w:jc w:val="left"/>
              <w:rPr/>
            </w:pPr>
            <w:r>
              <w:rPr/>
              <w:t> </w:t>
            </w:r>
          </w:p>
        </w:tc>
      </w:tr>
      <w:tr>
        <w:trPr/>
        <w:tc>
          <w:tcPr>
            <w:tcW w:w="2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center"/>
              <w:rPr>
                <w:b/>
              </w:rPr>
            </w:pPr>
            <w:r>
              <w:rPr>
                <w:b/>
              </w:rPr>
              <w:t>USD’000</w:t>
            </w:r>
          </w:p>
        </w:tc>
        <w:tc>
          <w:tcPr>
            <w:tcW w:w="80" w:type="dxa"/>
            <w:tcBorders/>
            <w:vAlign w:val="center"/>
          </w:tcPr>
          <w:p>
            <w:pPr>
              <w:pStyle w:val="TableContents"/>
              <w:bidi w:val="0"/>
              <w:spacing w:before="0" w:after="283"/>
              <w:jc w:val="left"/>
              <w:rPr/>
            </w:pPr>
            <w:r>
              <w:rPr/>
              <w:t> </w:t>
            </w:r>
          </w:p>
        </w:tc>
      </w:tr>
      <w:tr>
        <w:trPr/>
        <w:tc>
          <w:tcPr>
            <w:tcW w:w="2700" w:type="dxa"/>
            <w:tcBorders/>
            <w:vAlign w:val="center"/>
          </w:tcPr>
          <w:p>
            <w:pPr>
              <w:pStyle w:val="TableContents"/>
              <w:bidi w:val="0"/>
              <w:spacing w:before="0" w:after="283"/>
              <w:jc w:val="left"/>
              <w:rPr>
                <w:b/>
              </w:rPr>
            </w:pPr>
            <w:r>
              <w:rPr>
                <w:b/>
              </w:rPr>
              <w:t>Accumulated depreciation</w:t>
            </w:r>
          </w:p>
        </w:tc>
        <w:tc>
          <w:tcPr>
            <w:tcW w:w="6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200"/>
              <w:jc w:val="left"/>
              <w:rPr/>
            </w:pPr>
            <w:r>
              <w:rPr/>
              <w:t> </w:t>
            </w:r>
          </w:p>
        </w:tc>
      </w:tr>
      <w:tr>
        <w:trPr/>
        <w:tc>
          <w:tcPr>
            <w:tcW w:w="2700" w:type="dxa"/>
            <w:tcBorders/>
            <w:shd w:fill="CCEEFF" w:val="clear"/>
            <w:vAlign w:val="center"/>
          </w:tcPr>
          <w:p>
            <w:pPr>
              <w:pStyle w:val="TableContents"/>
              <w:bidi w:val="0"/>
              <w:spacing w:before="0" w:after="283"/>
              <w:jc w:val="left"/>
              <w:rPr/>
            </w:pPr>
            <w:r>
              <w:rPr/>
              <w:t>Freehold factory buildings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18</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700" w:type="dxa"/>
            <w:tcBorders/>
            <w:shd w:fill="FFFFFF" w:val="clear"/>
            <w:vAlign w:val="center"/>
          </w:tcPr>
          <w:p>
            <w:pPr>
              <w:pStyle w:val="TableContents"/>
              <w:bidi w:val="0"/>
              <w:spacing w:before="0" w:after="283"/>
              <w:jc w:val="left"/>
              <w:rPr/>
            </w:pPr>
            <w:r>
              <w:rPr/>
              <w:t>Furniture and fittings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78</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2700"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151</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700" w:type="dxa"/>
            <w:tcBorders/>
            <w:shd w:fill="FFFFFF" w:val="clear"/>
            <w:vAlign w:val="center"/>
          </w:tcPr>
          <w:p>
            <w:pPr>
              <w:pStyle w:val="TableContents"/>
              <w:bidi w:val="0"/>
              <w:spacing w:before="0" w:after="283"/>
              <w:jc w:val="left"/>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110</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2700" w:type="dxa"/>
            <w:tcBorders/>
            <w:shd w:fill="CCEEFF" w:val="clear"/>
            <w:vAlign w:val="center"/>
          </w:tcPr>
          <w:p>
            <w:pPr>
              <w:pStyle w:val="TableContents"/>
              <w:bidi w:val="0"/>
              <w:spacing w:before="0" w:after="283"/>
              <w:jc w:val="left"/>
              <w:rPr/>
            </w:pPr>
            <w:r>
              <w:rPr/>
              <w:t>Plant and machinery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404</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700" w:type="dxa"/>
            <w:tcBorders/>
            <w:shd w:fill="FFFFFF" w:val="clear"/>
            <w:vAlign w:val="center"/>
          </w:tcPr>
          <w:p>
            <w:pPr>
              <w:pStyle w:val="TableContents"/>
              <w:bidi w:val="0"/>
              <w:spacing w:before="0" w:after="283"/>
              <w:jc w:val="left"/>
              <w:rPr/>
            </w:pPr>
            <w:r>
              <w:rPr/>
              <w:t>Renovation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93</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2700" w:type="dxa"/>
            <w:tcBorders/>
            <w:shd w:fill="CCEEFF" w:val="clear"/>
            <w:vAlign w:val="center"/>
          </w:tcPr>
          <w:p>
            <w:pPr>
              <w:pStyle w:val="TableContents"/>
              <w:bidi w:val="0"/>
              <w:spacing w:before="0" w:after="283"/>
              <w:jc w:val="left"/>
              <w:rPr/>
            </w:pPr>
            <w:r>
              <w:rPr/>
              <w:t>Signboard</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9</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700" w:type="dxa"/>
            <w:tcBorders/>
            <w:shd w:fill="FFFFFF" w:val="clear"/>
            <w:vAlign w:val="center"/>
          </w:tcPr>
          <w:p>
            <w:pPr>
              <w:pStyle w:val="TableContents"/>
              <w:bidi w:val="0"/>
              <w:spacing w:before="0" w:after="283"/>
              <w:jc w:val="left"/>
              <w:rPr/>
            </w:pPr>
            <w:r>
              <w:rPr/>
              <w:t>Tools and equipment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201</w:t>
            </w:r>
          </w:p>
        </w:tc>
        <w:tc>
          <w:tcPr>
            <w:tcW w:w="80" w:type="dxa"/>
            <w:tcBorders/>
            <w:shd w:fill="FFFFFF" w:val="clear"/>
            <w:vAlign w:val="center"/>
          </w:tcPr>
          <w:p>
            <w:pPr>
              <w:pStyle w:val="TableContents"/>
              <w:bidi w:val="0"/>
              <w:spacing w:before="0" w:after="283"/>
              <w:jc w:val="left"/>
              <w:rPr/>
            </w:pPr>
            <w:r>
              <w:rPr/>
              <w:t> </w:t>
            </w:r>
          </w:p>
        </w:tc>
      </w:tr>
      <w:tr>
        <w:trPr/>
        <w:tc>
          <w:tcPr>
            <w:tcW w:w="2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pPr>
            <w:r>
              <w:rPr/>
              <w:t>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double" w:sz="10" w:space="0" w:color="000000"/>
            </w:tcBorders>
            <w:shd w:fill="CCEEFF" w:val="clear"/>
            <w:tcMar>
              <w:bottom w:w="28" w:type="dxa"/>
            </w:tcMar>
            <w:vAlign w:val="center"/>
          </w:tcPr>
          <w:p>
            <w:pPr>
              <w:pStyle w:val="TableContents"/>
              <w:bidi w:val="0"/>
              <w:spacing w:before="0" w:after="283"/>
              <w:jc w:val="right"/>
              <w:rPr/>
            </w:pPr>
            <w:r>
              <w:rPr/>
              <w:t>(80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double" w:sz="10" w:space="0" w:color="000000"/>
            </w:tcBorders>
            <w:shd w:fill="CCEEFF" w:val="clear"/>
            <w:tcMar>
              <w:bottom w:w="28" w:type="dxa"/>
            </w:tcMar>
            <w:vAlign w:val="center"/>
          </w:tcPr>
          <w:p>
            <w:pPr>
              <w:pStyle w:val="TableContents"/>
              <w:bidi w:val="0"/>
              <w:spacing w:before="0" w:after="283"/>
              <w:jc w:val="right"/>
              <w:rPr/>
            </w:pPr>
            <w:r>
              <w:rPr/>
              <w:t>1,064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2"/>
        <w:gridCol w:w="60"/>
        <w:gridCol w:w="100"/>
        <w:gridCol w:w="947"/>
        <w:gridCol w:w="60"/>
        <w:gridCol w:w="60"/>
        <w:gridCol w:w="137"/>
        <w:gridCol w:w="873"/>
        <w:gridCol w:w="60"/>
        <w:gridCol w:w="60"/>
        <w:gridCol w:w="146"/>
        <w:gridCol w:w="819"/>
        <w:gridCol w:w="95"/>
        <w:gridCol w:w="60"/>
        <w:gridCol w:w="155"/>
        <w:gridCol w:w="877"/>
        <w:gridCol w:w="95"/>
        <w:gridCol w:w="60"/>
        <w:gridCol w:w="175"/>
        <w:gridCol w:w="763"/>
        <w:gridCol w:w="60"/>
        <w:gridCol w:w="60"/>
        <w:gridCol w:w="152"/>
        <w:gridCol w:w="963"/>
        <w:gridCol w:w="95"/>
        <w:gridCol w:w="60"/>
        <w:gridCol w:w="103"/>
        <w:gridCol w:w="978"/>
        <w:gridCol w:w="80"/>
      </w:tblGrid>
      <w:tr>
        <w:trPr/>
        <w:tc>
          <w:tcPr>
            <w:tcW w:w="2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Written off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2025</w:t>
            </w:r>
          </w:p>
        </w:tc>
        <w:tc>
          <w:tcPr>
            <w:tcW w:w="80" w:type="dxa"/>
            <w:tcBorders/>
            <w:vAlign w:val="center"/>
          </w:tcPr>
          <w:p>
            <w:pPr>
              <w:pStyle w:val="TableContents"/>
              <w:bidi w:val="0"/>
              <w:spacing w:before="0" w:after="283"/>
              <w:jc w:val="left"/>
              <w:rPr/>
            </w:pPr>
            <w:r>
              <w:rPr/>
              <w:t> </w:t>
            </w:r>
          </w:p>
        </w:tc>
      </w:tr>
      <w:tr>
        <w:trPr/>
        <w:tc>
          <w:tcPr>
            <w:tcW w:w="20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center"/>
              <w:rPr>
                <w:b/>
              </w:rPr>
            </w:pPr>
            <w:r>
              <w:rPr>
                <w:b/>
              </w:rPr>
              <w:t>USD’000</w:t>
            </w:r>
          </w:p>
        </w:tc>
        <w:tc>
          <w:tcPr>
            <w:tcW w:w="80" w:type="dxa"/>
            <w:tcBorders/>
            <w:vAlign w:val="center"/>
          </w:tcPr>
          <w:p>
            <w:pPr>
              <w:pStyle w:val="TableContents"/>
              <w:bidi w:val="0"/>
              <w:spacing w:before="0" w:after="283"/>
              <w:jc w:val="left"/>
              <w:rPr/>
            </w:pPr>
            <w:r>
              <w:rPr/>
              <w:t> </w:t>
            </w:r>
          </w:p>
        </w:tc>
      </w:tr>
      <w:tr>
        <w:trPr/>
        <w:tc>
          <w:tcPr>
            <w:tcW w:w="2052" w:type="dxa"/>
            <w:tcBorders/>
            <w:vAlign w:val="center"/>
          </w:tcPr>
          <w:p>
            <w:pPr>
              <w:pStyle w:val="TableContents"/>
              <w:bidi w:val="0"/>
              <w:spacing w:before="0" w:after="283"/>
              <w:jc w:val="left"/>
              <w:rPr>
                <w:b/>
              </w:rPr>
            </w:pPr>
            <w:r>
              <w:rPr>
                <w:b/>
              </w:rPr>
              <w:t>At Cost</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200"/>
              <w:jc w:val="left"/>
              <w:rPr/>
            </w:pPr>
            <w:r>
              <w:rPr/>
              <w:t> </w:t>
            </w:r>
          </w:p>
        </w:tc>
      </w:tr>
      <w:tr>
        <w:trPr/>
        <w:tc>
          <w:tcPr>
            <w:tcW w:w="2052" w:type="dxa"/>
            <w:tcBorders/>
            <w:shd w:fill="CCEEFF" w:val="clear"/>
            <w:vAlign w:val="center"/>
          </w:tcPr>
          <w:p>
            <w:pPr>
              <w:pStyle w:val="TableContents"/>
              <w:bidi w:val="0"/>
              <w:spacing w:before="0" w:after="283"/>
              <w:jc w:val="left"/>
              <w:rPr/>
            </w:pPr>
            <w:r>
              <w:rPr/>
              <w:t>Freehold land</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184</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052" w:type="dxa"/>
            <w:tcBorders/>
            <w:shd w:fill="FFFFFF" w:val="clear"/>
            <w:vAlign w:val="center"/>
          </w:tcPr>
          <w:p>
            <w:pPr>
              <w:pStyle w:val="TableContents"/>
              <w:bidi w:val="0"/>
              <w:spacing w:before="0" w:after="283"/>
              <w:jc w:val="left"/>
              <w:rPr/>
            </w:pPr>
            <w:r>
              <w:rPr/>
              <w:t>Freehold factory buildings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159</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2052" w:type="dxa"/>
            <w:tcBorders/>
            <w:shd w:fill="CCEEFF" w:val="clear"/>
            <w:vAlign w:val="center"/>
          </w:tcPr>
          <w:p>
            <w:pPr>
              <w:pStyle w:val="TableContents"/>
              <w:bidi w:val="0"/>
              <w:spacing w:before="0" w:after="283"/>
              <w:jc w:val="left"/>
              <w:rPr/>
            </w:pPr>
            <w:r>
              <w:rPr/>
              <w:t>Furniture and fittings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215</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052" w:type="dxa"/>
            <w:tcBorders/>
            <w:shd w:fill="FFFFFF" w:val="clear"/>
            <w:vAlign w:val="center"/>
          </w:tcPr>
          <w:p>
            <w:pPr>
              <w:pStyle w:val="TableContents"/>
              <w:bidi w:val="0"/>
              <w:spacing w:before="0" w:after="283"/>
              <w:jc w:val="left"/>
              <w:rPr/>
            </w:pPr>
            <w:r>
              <w:rPr/>
              <w:t>Motor vehicles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219</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2052"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190</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052"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1,038</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2052" w:type="dxa"/>
            <w:tcBorders/>
            <w:shd w:fill="CCEEFF" w:val="clear"/>
            <w:vAlign w:val="center"/>
          </w:tcPr>
          <w:p>
            <w:pPr>
              <w:pStyle w:val="TableContents"/>
              <w:bidi w:val="0"/>
              <w:spacing w:before="0" w:after="283"/>
              <w:jc w:val="left"/>
              <w:rPr/>
            </w:pPr>
            <w:r>
              <w:rPr/>
              <w:t>Renovation</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233</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2052" w:type="dxa"/>
            <w:tcBorders/>
            <w:shd w:fill="FFFFFF" w:val="clear"/>
            <w:vAlign w:val="center"/>
          </w:tcPr>
          <w:p>
            <w:pPr>
              <w:pStyle w:val="TableContents"/>
              <w:bidi w:val="0"/>
              <w:spacing w:before="0" w:after="283"/>
              <w:jc w:val="left"/>
              <w:rPr/>
            </w:pPr>
            <w:r>
              <w:rPr/>
              <w:t>Signboard</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12</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2052" w:type="dxa"/>
            <w:tcBorders/>
            <w:shd w:fill="CCEEFF" w:val="clear"/>
            <w:vAlign w:val="center"/>
          </w:tcPr>
          <w:p>
            <w:pPr>
              <w:pStyle w:val="TableContents"/>
              <w:bidi w:val="0"/>
              <w:spacing w:before="0" w:after="283"/>
              <w:jc w:val="left"/>
              <w:rPr/>
            </w:pPr>
            <w:r>
              <w:rPr/>
              <w:t>Tools and equipment</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shd w:fill="CCEEFF" w:val="clear"/>
            <w:tcMar>
              <w:bottom w:w="28" w:type="dxa"/>
            </w:tcMar>
            <w:vAlign w:val="center"/>
          </w:tcPr>
          <w:p>
            <w:pPr>
              <w:pStyle w:val="TableContents"/>
              <w:bidi w:val="0"/>
              <w:spacing w:before="0" w:after="283"/>
              <w:jc w:val="right"/>
              <w:rPr/>
            </w:pPr>
            <w:r>
              <w:rPr/>
              <w:t>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center"/>
          </w:tcPr>
          <w:p>
            <w:pPr>
              <w:pStyle w:val="TableContents"/>
              <w:bidi w:val="0"/>
              <w:spacing w:before="0" w:after="283"/>
              <w:jc w:val="right"/>
              <w:rPr/>
            </w:pPr>
            <w:r>
              <w:rPr/>
              <w:t>410</w:t>
            </w:r>
          </w:p>
        </w:tc>
        <w:tc>
          <w:tcPr>
            <w:tcW w:w="80" w:type="dxa"/>
            <w:tcBorders/>
            <w:shd w:fill="CCEEFF" w:val="clear"/>
            <w:vAlign w:val="center"/>
          </w:tcPr>
          <w:p>
            <w:pPr>
              <w:pStyle w:val="TableContents"/>
              <w:bidi w:val="0"/>
              <w:spacing w:before="0" w:after="283"/>
              <w:jc w:val="left"/>
              <w:rPr/>
            </w:pPr>
            <w:r>
              <w:rPr/>
              <w:t> </w:t>
            </w:r>
          </w:p>
        </w:tc>
      </w:tr>
      <w:tr>
        <w:trPr/>
        <w:tc>
          <w:tcPr>
            <w:tcW w:w="20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47" w:type="dxa"/>
            <w:tcBorders>
              <w:bottom w:val="double" w:sz="10" w:space="0" w:color="000000"/>
            </w:tcBorders>
            <w:shd w:fill="FFFFFF" w:val="clear"/>
            <w:tcMar>
              <w:bottom w:w="28" w:type="dxa"/>
            </w:tcMar>
            <w:vAlign w:val="center"/>
          </w:tcPr>
          <w:p>
            <w:pPr>
              <w:pStyle w:val="TableContents"/>
              <w:bidi w:val="0"/>
              <w:spacing w:before="0" w:after="283"/>
              <w:jc w:val="right"/>
              <w:rPr/>
            </w:pPr>
            <w:r>
              <w:rPr/>
              <w:t>2,094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FFFFFF" w:val="clear"/>
            <w:tcMar>
              <w:bottom w:w="28" w:type="dxa"/>
            </w:tcMar>
            <w:vAlign w:val="center"/>
          </w:tcPr>
          <w:p>
            <w:pPr>
              <w:pStyle w:val="TableContents"/>
              <w:bidi w:val="0"/>
              <w:spacing w:before="0" w:after="283"/>
              <w:jc w:val="right"/>
              <w:rPr/>
            </w:pPr>
            <w:r>
              <w:rPr/>
              <w:t>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double" w:sz="10" w:space="0" w:color="000000"/>
            </w:tcBorders>
            <w:shd w:fill="FFFFFF" w:val="clear"/>
            <w:tcMar>
              <w:bottom w:w="28" w:type="dxa"/>
            </w:tcM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877" w:type="dxa"/>
            <w:tcBorders>
              <w:bottom w:val="double" w:sz="10"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double" w:sz="10" w:space="0" w:color="000000"/>
            </w:tcBorders>
            <w:shd w:fill="FFFFFF" w:val="clear"/>
            <w:tcMar>
              <w:bottom w:w="28" w:type="dxa"/>
            </w:tcMar>
            <w:vAlign w:val="center"/>
          </w:tcPr>
          <w:p>
            <w:pPr>
              <w:pStyle w:val="TableContents"/>
              <w:bidi w:val="0"/>
              <w:spacing w:before="0" w:after="283"/>
              <w:jc w:val="right"/>
              <w:rPr/>
            </w:pPr>
            <w:r>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double" w:sz="10" w:space="0" w:color="000000"/>
            </w:tcBorders>
            <w:shd w:fill="FFFFFF" w:val="clear"/>
            <w:tcMar>
              <w:bottom w:w="28" w:type="dxa"/>
            </w:tcMar>
            <w:vAlign w:val="center"/>
          </w:tcPr>
          <w:p>
            <w:pPr>
              <w:pStyle w:val="TableContents"/>
              <w:bidi w:val="0"/>
              <w:spacing w:before="0" w:after="283"/>
              <w:jc w:val="right"/>
              <w:rPr/>
            </w:pPr>
            <w:r>
              <w:rPr/>
              <w:t>2,660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55"/>
        <w:gridCol w:w="5180"/>
      </w:tblGrid>
      <w:tr>
        <w:trPr/>
        <w:tc>
          <w:tcPr>
            <w:tcW w:w="155" w:type="dxa"/>
            <w:tcBorders/>
            <w:vAlign w:val="center"/>
          </w:tcPr>
          <w:p>
            <w:pPr>
              <w:pStyle w:val="TableContents"/>
              <w:bidi w:val="0"/>
              <w:spacing w:before="0" w:after="283"/>
              <w:jc w:val="left"/>
              <w:rPr>
                <w:b/>
              </w:rPr>
            </w:pPr>
            <w:r>
              <w:rPr>
                <w:b/>
              </w:rPr>
              <w:t>4</w:t>
            </w:r>
          </w:p>
        </w:tc>
        <w:tc>
          <w:tcPr>
            <w:tcW w:w="5180" w:type="dxa"/>
            <w:tcBorders/>
            <w:vAlign w:val="center"/>
          </w:tcPr>
          <w:p>
            <w:pPr>
              <w:pStyle w:val="TableContents"/>
              <w:bidi w:val="0"/>
              <w:spacing w:before="0" w:after="283"/>
              <w:jc w:val="both"/>
              <w:rPr/>
            </w:pPr>
            <w:r>
              <w:rPr>
                <w:b/>
              </w:rPr>
              <w:t>PROPERTY, PLANT AND EQUIPMENT</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2"/>
        <w:gridCol w:w="60"/>
        <w:gridCol w:w="94"/>
        <w:gridCol w:w="884"/>
        <w:gridCol w:w="60"/>
        <w:gridCol w:w="60"/>
        <w:gridCol w:w="180"/>
        <w:gridCol w:w="1145"/>
        <w:gridCol w:w="60"/>
        <w:gridCol w:w="60"/>
        <w:gridCol w:w="146"/>
        <w:gridCol w:w="819"/>
        <w:gridCol w:w="95"/>
        <w:gridCol w:w="60"/>
        <w:gridCol w:w="145"/>
        <w:gridCol w:w="818"/>
        <w:gridCol w:w="95"/>
        <w:gridCol w:w="60"/>
        <w:gridCol w:w="174"/>
        <w:gridCol w:w="758"/>
        <w:gridCol w:w="60"/>
        <w:gridCol w:w="60"/>
        <w:gridCol w:w="209"/>
        <w:gridCol w:w="906"/>
        <w:gridCol w:w="60"/>
        <w:gridCol w:w="60"/>
        <w:gridCol w:w="97"/>
        <w:gridCol w:w="919"/>
        <w:gridCol w:w="79"/>
      </w:tblGrid>
      <w:tr>
        <w:trPr/>
        <w:tc>
          <w:tcPr>
            <w:tcW w:w="1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Depreciation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Written off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2025</w:t>
            </w:r>
          </w:p>
        </w:tc>
        <w:tc>
          <w:tcPr>
            <w:tcW w:w="79" w:type="dxa"/>
            <w:tcBorders/>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8"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3"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vAlign w:val="center"/>
          </w:tcPr>
          <w:p>
            <w:pPr>
              <w:pStyle w:val="TableContents"/>
              <w:bidi w:val="0"/>
              <w:spacing w:before="0" w:after="283"/>
              <w:jc w:val="center"/>
              <w:rPr>
                <w:b/>
              </w:rPr>
            </w:pPr>
            <w:r>
              <w:rPr>
                <w:b/>
              </w:rPr>
              <w:t>USD’000</w:t>
            </w:r>
          </w:p>
        </w:tc>
        <w:tc>
          <w:tcPr>
            <w:tcW w:w="79" w:type="dxa"/>
            <w:tcBorders/>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283"/>
              <w:jc w:val="left"/>
              <w:rPr>
                <w:b/>
              </w:rPr>
            </w:pPr>
            <w:r>
              <w:rPr>
                <w:b/>
              </w:rPr>
              <w:t>Accumulated depreciation</w:t>
            </w:r>
          </w:p>
        </w:tc>
        <w:tc>
          <w:tcPr>
            <w:tcW w:w="60" w:type="dxa"/>
            <w:tcBorders/>
            <w:vAlign w:val="center"/>
          </w:tcPr>
          <w:p>
            <w:pPr>
              <w:pStyle w:val="TableContents"/>
              <w:bidi w:val="0"/>
              <w:spacing w:before="0" w:after="283"/>
              <w:jc w:val="left"/>
              <w:rPr/>
            </w:pPr>
            <w:r>
              <w:rPr/>
              <w:t> </w:t>
            </w:r>
          </w:p>
        </w:tc>
        <w:tc>
          <w:tcPr>
            <w:tcW w:w="9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ind w:left="0" w:right="0" w:hanging="200"/>
              <w:jc w:val="left"/>
              <w:rPr/>
            </w:pPr>
            <w:r>
              <w:rPr/>
              <w:t> </w:t>
            </w:r>
          </w:p>
        </w:tc>
      </w:tr>
      <w:tr>
        <w:trPr/>
        <w:tc>
          <w:tcPr>
            <w:tcW w:w="1982" w:type="dxa"/>
            <w:tcBorders/>
            <w:shd w:fill="CCEEFF" w:val="clear"/>
            <w:vAlign w:val="center"/>
          </w:tcPr>
          <w:p>
            <w:pPr>
              <w:pStyle w:val="TableContents"/>
              <w:bidi w:val="0"/>
              <w:spacing w:before="0" w:after="283"/>
              <w:jc w:val="left"/>
              <w:rPr/>
            </w:pPr>
            <w:r>
              <w:rPr/>
              <w:t>Freehold land</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1982" w:type="dxa"/>
            <w:tcBorders/>
            <w:shd w:fill="FFFFFF" w:val="clear"/>
            <w:vAlign w:val="center"/>
          </w:tcPr>
          <w:p>
            <w:pPr>
              <w:pStyle w:val="TableContents"/>
              <w:bidi w:val="0"/>
              <w:spacing w:before="0" w:after="283"/>
              <w:jc w:val="left"/>
              <w:rPr/>
            </w:pPr>
            <w:r>
              <w:rPr/>
              <w:t>Freehold factory buildings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23</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1982" w:type="dxa"/>
            <w:tcBorders/>
            <w:shd w:fill="CCEEFF" w:val="clear"/>
            <w:vAlign w:val="center"/>
          </w:tcPr>
          <w:p>
            <w:pPr>
              <w:pStyle w:val="TableContents"/>
              <w:bidi w:val="0"/>
              <w:spacing w:before="0" w:after="283"/>
              <w:jc w:val="left"/>
              <w:rPr/>
            </w:pPr>
            <w:r>
              <w:rPr/>
              <w:t>Furniture and fittings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103</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1982" w:type="dxa"/>
            <w:tcBorders/>
            <w:shd w:fill="FFFFFF" w:val="clear"/>
            <w:vAlign w:val="center"/>
          </w:tcPr>
          <w:p>
            <w:pPr>
              <w:pStyle w:val="TableContents"/>
              <w:bidi w:val="0"/>
              <w:spacing w:before="0" w:after="283"/>
              <w:jc w:val="left"/>
              <w:rPr/>
            </w:pPr>
            <w:r>
              <w:rPr/>
              <w:t>Motor vehicles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187</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1982"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141</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1982"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549</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1982" w:type="dxa"/>
            <w:tcBorders/>
            <w:shd w:fill="CCEEFF" w:val="clear"/>
            <w:vAlign w:val="center"/>
          </w:tcPr>
          <w:p>
            <w:pPr>
              <w:pStyle w:val="TableContents"/>
              <w:bidi w:val="0"/>
              <w:spacing w:before="0" w:after="283"/>
              <w:jc w:val="left"/>
              <w:rPr/>
            </w:pPr>
            <w:r>
              <w:rPr/>
              <w:t>Renovation</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123</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1982" w:type="dxa"/>
            <w:tcBorders/>
            <w:shd w:fill="FFFFFF" w:val="clear"/>
            <w:vAlign w:val="center"/>
          </w:tcPr>
          <w:p>
            <w:pPr>
              <w:pStyle w:val="TableContents"/>
              <w:bidi w:val="0"/>
              <w:spacing w:before="0" w:after="283"/>
              <w:jc w:val="left"/>
              <w:rPr/>
            </w:pPr>
            <w:r>
              <w:rPr/>
              <w:t>Signboard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10</w:t>
            </w:r>
          </w:p>
        </w:tc>
        <w:tc>
          <w:tcPr>
            <w:tcW w:w="79" w:type="dxa"/>
            <w:tcBorders/>
            <w:shd w:fill="FFFFFF" w:val="clear"/>
            <w:vAlign w:val="center"/>
          </w:tcPr>
          <w:p>
            <w:pPr>
              <w:pStyle w:val="TableContents"/>
              <w:bidi w:val="0"/>
              <w:spacing w:before="0" w:after="283"/>
              <w:ind w:left="0" w:right="0" w:hanging="200"/>
              <w:jc w:val="left"/>
              <w:rPr/>
            </w:pPr>
            <w:r>
              <w:rPr/>
              <w:t> </w:t>
            </w:r>
          </w:p>
        </w:tc>
      </w:tr>
      <w:tr>
        <w:trPr/>
        <w:tc>
          <w:tcPr>
            <w:tcW w:w="1982" w:type="dxa"/>
            <w:tcBorders/>
            <w:shd w:fill="CCEEFF" w:val="clear"/>
            <w:vAlign w:val="center"/>
          </w:tcPr>
          <w:p>
            <w:pPr>
              <w:pStyle w:val="TableContents"/>
              <w:bidi w:val="0"/>
              <w:spacing w:before="0" w:after="283"/>
              <w:jc w:val="left"/>
              <w:rPr/>
            </w:pPr>
            <w:r>
              <w:rPr/>
              <w:t>Tools and equipment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pPr>
            <w:r>
              <w:rPr/>
              <w:t>251</w:t>
            </w:r>
          </w:p>
        </w:tc>
        <w:tc>
          <w:tcPr>
            <w:tcW w:w="79" w:type="dxa"/>
            <w:tcBorders/>
            <w:shd w:fill="CCEEFF" w:val="clear"/>
            <w:vAlign w:val="center"/>
          </w:tcPr>
          <w:p>
            <w:pPr>
              <w:pStyle w:val="TableContents"/>
              <w:bidi w:val="0"/>
              <w:spacing w:before="0" w:after="283"/>
              <w:jc w:val="left"/>
              <w:rPr/>
            </w:pPr>
            <w:r>
              <w:rPr/>
              <w:t> </w:t>
            </w:r>
          </w:p>
        </w:tc>
      </w:tr>
      <w:tr>
        <w:trPr/>
        <w:tc>
          <w:tcPr>
            <w:tcW w:w="1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pPr>
            <w:r>
              <w:rPr/>
              <w:t>1,064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FFFFFF" w:val="clear"/>
            <w:tcMar>
              <w:bottom w:w="28" w:type="dxa"/>
            </w:tcMar>
            <w:vAlign w:val="center"/>
          </w:tcPr>
          <w:p>
            <w:pPr>
              <w:pStyle w:val="TableContents"/>
              <w:bidi w:val="0"/>
              <w:spacing w:before="0" w:after="283"/>
              <w:jc w:val="right"/>
              <w:rPr/>
            </w:pPr>
            <w:r>
              <w:rPr/>
              <w:t>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double" w:sz="10" w:space="0" w:color="000000"/>
            </w:tcBorders>
            <w:shd w:fill="FFFFFF" w:val="clear"/>
            <w:tcMar>
              <w:bottom w:w="28" w:type="dxa"/>
            </w:tcM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double" w:sz="10"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FFFFFF" w:val="clear"/>
            <w:tcMar>
              <w:bottom w:w="28" w:type="dxa"/>
            </w:tcMar>
            <w:vAlign w:val="center"/>
          </w:tcPr>
          <w:p>
            <w:pPr>
              <w:pStyle w:val="TableContents"/>
              <w:bidi w:val="0"/>
              <w:spacing w:before="0" w:after="283"/>
              <w:jc w:val="right"/>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double" w:sz="10" w:space="0" w:color="000000"/>
            </w:tcBorders>
            <w:shd w:fill="FFFFFF" w:val="clear"/>
            <w:tcMar>
              <w:bottom w:w="28" w:type="dxa"/>
            </w:tcMar>
            <w:vAlign w:val="center"/>
          </w:tcPr>
          <w:p>
            <w:pPr>
              <w:pStyle w:val="TableContents"/>
              <w:bidi w:val="0"/>
              <w:spacing w:before="0" w:after="283"/>
              <w:jc w:val="right"/>
              <w:rPr/>
            </w:pPr>
            <w:r>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10" w:space="0" w:color="000000"/>
            </w:tcBorders>
            <w:shd w:fill="FFFFFF" w:val="clear"/>
            <w:tcMar>
              <w:bottom w:w="28" w:type="dxa"/>
            </w:tcMar>
            <w:vAlign w:val="center"/>
          </w:tcPr>
          <w:p>
            <w:pPr>
              <w:pStyle w:val="TableContents"/>
              <w:bidi w:val="0"/>
              <w:spacing w:before="0" w:after="283"/>
              <w:jc w:val="right"/>
              <w:rPr/>
            </w:pPr>
            <w:r>
              <w:rPr/>
              <w:t>1,387</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5578" w:type="dxa"/>
        <w:jc w:val="left"/>
        <w:tblInd w:w="0" w:type="dxa"/>
        <w:tblLayout w:type="fixed"/>
        <w:tblCellMar>
          <w:top w:w="0" w:type="dxa"/>
          <w:left w:w="0" w:type="dxa"/>
          <w:bottom w:w="0" w:type="dxa"/>
          <w:right w:w="0" w:type="dxa"/>
        </w:tblCellMar>
      </w:tblPr>
      <w:tblGrid>
        <w:gridCol w:w="3425"/>
        <w:gridCol w:w="60"/>
        <w:gridCol w:w="91"/>
        <w:gridCol w:w="858"/>
        <w:gridCol w:w="60"/>
        <w:gridCol w:w="60"/>
        <w:gridCol w:w="91"/>
        <w:gridCol w:w="858"/>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b/>
              </w:rPr>
            </w:pPr>
            <w:r>
              <w:rPr>
                <w:b/>
              </w:rPr>
              <w:t>Carrying amounts</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Freehold land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184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Freehold factory buildings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136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Furniture and fittings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Motor vehicles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489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Renovation</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Signboard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25" w:type="dxa"/>
            <w:tcBorders/>
            <w:shd w:fill="CCEEFF" w:val="clear"/>
            <w:vAlign w:val="center"/>
          </w:tcPr>
          <w:p>
            <w:pPr>
              <w:pStyle w:val="TableContents"/>
              <w:bidi w:val="0"/>
              <w:spacing w:before="0" w:after="283"/>
              <w:jc w:val="left"/>
              <w:rPr/>
            </w:pPr>
            <w:r>
              <w:rPr/>
              <w:t>Tools and equipment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159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25" w:type="dxa"/>
            <w:tcBorders/>
            <w:shd w:fill="FFFFFF" w:val="clear"/>
            <w:vAlign w:val="center"/>
          </w:tcPr>
          <w:p>
            <w:pPr>
              <w:pStyle w:val="TableContents"/>
              <w:bidi w:val="0"/>
              <w:spacing w:before="0" w:after="283"/>
              <w:jc w:val="left"/>
              <w:rPr/>
            </w:pPr>
            <w:r>
              <w:rPr/>
              <w:t>Total property, plant and equipment</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1,273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75"/>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510" w:type="dxa"/>
            <w:tcBorders/>
            <w:vAlign w:val="center"/>
          </w:tcPr>
          <w:p>
            <w:pPr>
              <w:pStyle w:val="TableContents"/>
              <w:bidi w:val="0"/>
              <w:spacing w:before="0" w:after="283"/>
              <w:jc w:val="both"/>
              <w:rPr/>
            </w:pPr>
            <w:r>
              <w:rPr/>
              <w:t>The Group made the following cash payments to purchase property, plant and equipment:</w:t>
            </w:r>
          </w:p>
        </w:tc>
      </w:tr>
    </w:tbl>
    <w:p>
      <w:pPr>
        <w:pStyle w:val="TextBody"/>
        <w:bidi w:val="0"/>
        <w:spacing w:before="0" w:after="0"/>
        <w:ind w:left="960" w:right="0" w:hanging="480"/>
        <w:jc w:val="both"/>
        <w:rPr>
          <w:caps w:val="false"/>
          <w:smallCaps w:val="false"/>
        </w:rPr>
      </w:pPr>
      <w:r>
        <w:rPr>
          <w:caps w:val="false"/>
          <w:smallCaps w:val="false"/>
        </w:rPr>
        <w:t> </w:t>
      </w:r>
    </w:p>
    <w:tbl>
      <w:tblPr>
        <w:tblW w:w="7978" w:type="dxa"/>
        <w:jc w:val="left"/>
        <w:tblInd w:w="0" w:type="dxa"/>
        <w:tblLayout w:type="fixed"/>
        <w:tblCellMar>
          <w:top w:w="0" w:type="dxa"/>
          <w:left w:w="0" w:type="dxa"/>
          <w:bottom w:w="0" w:type="dxa"/>
          <w:right w:w="0" w:type="dxa"/>
        </w:tblCellMar>
      </w:tblPr>
      <w:tblGrid>
        <w:gridCol w:w="5825"/>
        <w:gridCol w:w="60"/>
        <w:gridCol w:w="128"/>
        <w:gridCol w:w="821"/>
        <w:gridCol w:w="60"/>
        <w:gridCol w:w="60"/>
        <w:gridCol w:w="128"/>
        <w:gridCol w:w="821"/>
        <w:gridCol w:w="75"/>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Cash payments on 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415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No impairment loss had been recognized during the periods ended June 30, 2023, 2024 and 2025 respectively.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During the year, the Company has acquired freehold land from its related parties for USD186,000 (Note 30).</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(d)</w:t>
            </w:r>
          </w:p>
        </w:tc>
        <w:tc>
          <w:tcPr>
            <w:tcW w:w="9887" w:type="dxa"/>
            <w:tcBorders/>
            <w:vAlign w:val="center"/>
          </w:tcPr>
          <w:p>
            <w:pPr>
              <w:pStyle w:val="TableContents"/>
              <w:bidi w:val="0"/>
              <w:spacing w:before="0" w:after="283"/>
              <w:jc w:val="both"/>
              <w:rPr/>
            </w:pPr>
            <w:r>
              <w:rPr/>
              <w:t>The following depreciation amounts are recognized during periods ended June 30, 2023, 2024 and 2025 respectively.</w:t>
            </w:r>
          </w:p>
        </w:tc>
      </w:tr>
    </w:tbl>
    <w:p>
      <w:pPr>
        <w:pStyle w:val="TextBody"/>
        <w:bidi w:val="0"/>
        <w:spacing w:before="0" w:after="0"/>
        <w:ind w:left="960" w:right="0" w:hanging="480"/>
        <w:jc w:val="both"/>
        <w:rPr>
          <w:caps w:val="false"/>
          <w:smallCaps w:val="false"/>
        </w:rPr>
      </w:pPr>
      <w:r>
        <w:rPr>
          <w:caps w:val="false"/>
          <w:smallCaps w:val="false"/>
        </w:rPr>
        <w:t> </w:t>
      </w:r>
    </w:p>
    <w:tbl>
      <w:tblPr>
        <w:tblW w:w="6737" w:type="dxa"/>
        <w:jc w:val="left"/>
        <w:tblInd w:w="0" w:type="dxa"/>
        <w:tblLayout w:type="fixed"/>
        <w:tblCellMar>
          <w:top w:w="0" w:type="dxa"/>
          <w:left w:w="0" w:type="dxa"/>
          <w:bottom w:w="0" w:type="dxa"/>
          <w:right w:w="0" w:type="dxa"/>
        </w:tblCellMar>
      </w:tblPr>
      <w:tblGrid>
        <w:gridCol w:w="3515"/>
        <w:gridCol w:w="60"/>
        <w:gridCol w:w="128"/>
        <w:gridCol w:w="821"/>
        <w:gridCol w:w="60"/>
        <w:gridCol w:w="60"/>
        <w:gridCol w:w="128"/>
        <w:gridCol w:w="821"/>
        <w:gridCol w:w="60"/>
        <w:gridCol w:w="60"/>
        <w:gridCol w:w="128"/>
        <w:gridCol w:w="821"/>
        <w:gridCol w:w="7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3515" w:type="dxa"/>
            <w:tcBorders/>
            <w:shd w:fill="CCEEFF" w:val="clear"/>
            <w:vAlign w:val="center"/>
          </w:tcPr>
          <w:p>
            <w:pPr>
              <w:pStyle w:val="TableContents"/>
              <w:bidi w:val="0"/>
              <w:spacing w:before="0" w:after="283"/>
              <w:jc w:val="left"/>
              <w:rPr/>
            </w:pPr>
            <w:r>
              <w:rPr/>
              <w:t>Cost of goods sold (Note 23)</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15" w:type="dxa"/>
            <w:tcBorders/>
            <w:shd w:fill="FFFFFF" w:val="clear"/>
            <w:vAlign w:val="center"/>
          </w:tcPr>
          <w:p>
            <w:pPr>
              <w:pStyle w:val="TableContents"/>
              <w:bidi w:val="0"/>
              <w:spacing w:before="0" w:after="283"/>
              <w:jc w:val="left"/>
              <w:rPr/>
            </w:pPr>
            <w:r>
              <w:rPr/>
              <w:t>Administrative expenses (Note 24)</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89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15" w:type="dxa"/>
            <w:tcBorders/>
            <w:shd w:fill="CCEEFF" w:val="clear"/>
            <w:vAlign w:val="center"/>
          </w:tcPr>
          <w:p>
            <w:pPr>
              <w:pStyle w:val="TableContents"/>
              <w:bidi w:val="0"/>
              <w:spacing w:before="0" w:after="283"/>
              <w:jc w:val="left"/>
              <w:rPr/>
            </w:pPr>
            <w:r>
              <w:rPr/>
              <w:t>Depreciation capitalized in inventory</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236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55"/>
        <w:gridCol w:w="5795"/>
      </w:tblGrid>
      <w:tr>
        <w:trPr/>
        <w:tc>
          <w:tcPr>
            <w:tcW w:w="155" w:type="dxa"/>
            <w:tcBorders/>
            <w:vAlign w:val="center"/>
          </w:tcPr>
          <w:p>
            <w:pPr>
              <w:pStyle w:val="TableContents"/>
              <w:bidi w:val="0"/>
              <w:spacing w:before="0" w:after="283"/>
              <w:jc w:val="left"/>
              <w:rPr>
                <w:b/>
              </w:rPr>
            </w:pPr>
            <w:r>
              <w:rPr>
                <w:b/>
              </w:rPr>
              <w:t>5</w:t>
            </w:r>
          </w:p>
        </w:tc>
        <w:tc>
          <w:tcPr>
            <w:tcW w:w="5795" w:type="dxa"/>
            <w:tcBorders/>
            <w:vAlign w:val="center"/>
          </w:tcPr>
          <w:p>
            <w:pPr>
              <w:pStyle w:val="TableContents"/>
              <w:bidi w:val="0"/>
              <w:spacing w:before="0" w:after="283"/>
              <w:jc w:val="both"/>
              <w:rPr>
                <w:b/>
              </w:rPr>
            </w:pPr>
            <w:r>
              <w:rPr>
                <w:b/>
              </w:rPr>
              <w:t>RIGHT-OF-USE ASSETS AND LEASE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7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820" w:type="dxa"/>
            <w:tcBorders/>
            <w:vAlign w:val="center"/>
          </w:tcPr>
          <w:p>
            <w:pPr>
              <w:pStyle w:val="TableContents"/>
              <w:bidi w:val="0"/>
              <w:spacing w:before="0" w:after="283"/>
              <w:jc w:val="both"/>
              <w:rPr/>
            </w:pPr>
            <w:r>
              <w:rPr/>
              <w:t>Right-of-use assets</w:t>
            </w:r>
          </w:p>
        </w:tc>
      </w:tr>
    </w:tbl>
    <w:p>
      <w:pPr>
        <w:pStyle w:val="TextBody"/>
        <w:bidi w:val="0"/>
        <w:spacing w:before="0" w:after="0"/>
        <w:ind w:left="960" w:right="0" w:hanging="480"/>
        <w:jc w:val="both"/>
        <w:rPr>
          <w:caps w:val="false"/>
          <w:smallCaps w:val="false"/>
        </w:rPr>
      </w:pPr>
      <w:r>
        <w:rPr>
          <w:caps w:val="false"/>
          <w:smallCaps w:val="false"/>
        </w:rPr>
        <w:t> </w:t>
      </w:r>
    </w:p>
    <w:tbl>
      <w:tblPr>
        <w:tblW w:w="9111" w:type="dxa"/>
        <w:jc w:val="left"/>
        <w:tblInd w:w="0" w:type="dxa"/>
        <w:tblLayout w:type="fixed"/>
        <w:tblCellMar>
          <w:top w:w="0" w:type="dxa"/>
          <w:left w:w="0" w:type="dxa"/>
          <w:bottom w:w="0" w:type="dxa"/>
          <w:right w:w="0" w:type="dxa"/>
        </w:tblCellMar>
      </w:tblPr>
      <w:tblGrid>
        <w:gridCol w:w="1970"/>
        <w:gridCol w:w="60"/>
        <w:gridCol w:w="111"/>
        <w:gridCol w:w="1048"/>
        <w:gridCol w:w="60"/>
        <w:gridCol w:w="60"/>
        <w:gridCol w:w="137"/>
        <w:gridCol w:w="873"/>
        <w:gridCol w:w="60"/>
        <w:gridCol w:w="60"/>
        <w:gridCol w:w="177"/>
        <w:gridCol w:w="772"/>
        <w:gridCol w:w="60"/>
        <w:gridCol w:w="60"/>
        <w:gridCol w:w="178"/>
        <w:gridCol w:w="771"/>
        <w:gridCol w:w="60"/>
        <w:gridCol w:w="60"/>
        <w:gridCol w:w="129"/>
        <w:gridCol w:w="986"/>
        <w:gridCol w:w="95"/>
        <w:gridCol w:w="60"/>
        <w:gridCol w:w="114"/>
        <w:gridCol w:w="1075"/>
        <w:gridCol w:w="7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2024</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b/>
              </w:rPr>
            </w:pPr>
            <w:r>
              <w:rPr>
                <w:b/>
              </w:rPr>
              <w:t>At Cost</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Leasehold land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1,162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970" w:type="dxa"/>
            <w:tcBorders/>
            <w:shd w:fill="FFFFFF" w:val="clear"/>
            <w:vAlign w:val="center"/>
          </w:tcPr>
          <w:p>
            <w:pPr>
              <w:pStyle w:val="TableContents"/>
              <w:bidi w:val="0"/>
              <w:spacing w:before="0" w:after="283"/>
              <w:jc w:val="left"/>
              <w:rPr/>
            </w:pPr>
            <w:r>
              <w:rPr/>
              <w:t>Leasehold buildings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1,935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327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970"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454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Tool and equipment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double" w:sz="10" w:space="0" w:color="000000"/>
            </w:tcBorders>
            <w:shd w:fill="FFFFFF" w:val="clear"/>
            <w:tcMar>
              <w:bottom w:w="28" w:type="dxa"/>
            </w:tcMar>
            <w:vAlign w:val="center"/>
          </w:tcPr>
          <w:p>
            <w:pPr>
              <w:pStyle w:val="TableContents"/>
              <w:bidi w:val="0"/>
              <w:spacing w:before="0" w:after="283"/>
              <w:jc w:val="right"/>
              <w:rPr/>
            </w:pPr>
            <w:r>
              <w:rPr/>
              <w:t>3,237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FFFFFF" w:val="clear"/>
            <w:tcMar>
              <w:bottom w:w="28" w:type="dxa"/>
            </w:tcMar>
            <w:vAlign w:val="center"/>
          </w:tcPr>
          <w:p>
            <w:pPr>
              <w:pStyle w:val="TableContents"/>
              <w:bidi w:val="0"/>
              <w:spacing w:before="0" w:after="283"/>
              <w:jc w:val="right"/>
              <w:rPr/>
            </w:pPr>
            <w:r>
              <w:rPr/>
              <w:t>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pPr>
            <w:r>
              <w:rPr/>
              <w:t>3,926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161" w:type="dxa"/>
        <w:jc w:val="left"/>
        <w:tblInd w:w="0" w:type="dxa"/>
        <w:tblLayout w:type="fixed"/>
        <w:tblCellMar>
          <w:top w:w="0" w:type="dxa"/>
          <w:left w:w="0" w:type="dxa"/>
          <w:bottom w:w="0" w:type="dxa"/>
          <w:right w:w="0" w:type="dxa"/>
        </w:tblCellMar>
      </w:tblPr>
      <w:tblGrid>
        <w:gridCol w:w="2705"/>
        <w:gridCol w:w="60"/>
        <w:gridCol w:w="157"/>
        <w:gridCol w:w="1002"/>
        <w:gridCol w:w="60"/>
        <w:gridCol w:w="60"/>
        <w:gridCol w:w="180"/>
        <w:gridCol w:w="1145"/>
        <w:gridCol w:w="60"/>
        <w:gridCol w:w="60"/>
        <w:gridCol w:w="177"/>
        <w:gridCol w:w="772"/>
        <w:gridCol w:w="60"/>
        <w:gridCol w:w="60"/>
        <w:gridCol w:w="178"/>
        <w:gridCol w:w="771"/>
        <w:gridCol w:w="60"/>
        <w:gridCol w:w="60"/>
        <w:gridCol w:w="169"/>
        <w:gridCol w:w="946"/>
        <w:gridCol w:w="95"/>
        <w:gridCol w:w="60"/>
        <w:gridCol w:w="114"/>
        <w:gridCol w:w="107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Depreciation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2024</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b/>
              </w:rPr>
            </w:pPr>
            <w:r>
              <w:rPr>
                <w:b/>
              </w:rPr>
              <w:t>Accumulated depreciation</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705" w:type="dxa"/>
            <w:tcBorders/>
            <w:shd w:fill="CCEEFF" w:val="clear"/>
            <w:vAlign w:val="center"/>
          </w:tcPr>
          <w:p>
            <w:pPr>
              <w:pStyle w:val="TableContents"/>
              <w:bidi w:val="0"/>
              <w:spacing w:before="0" w:after="283"/>
              <w:jc w:val="left"/>
              <w:rPr/>
            </w:pPr>
            <w:r>
              <w:rPr/>
              <w:t>Leasehold land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72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705" w:type="dxa"/>
            <w:tcBorders/>
            <w:shd w:fill="FFFFFF" w:val="clear"/>
            <w:vAlign w:val="center"/>
          </w:tcPr>
          <w:p>
            <w:pPr>
              <w:pStyle w:val="TableContents"/>
              <w:bidi w:val="0"/>
              <w:spacing w:before="0" w:after="283"/>
              <w:jc w:val="left"/>
              <w:rPr/>
            </w:pPr>
            <w:r>
              <w:rPr/>
              <w:t>Leasehold buildings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687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70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175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705"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153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705" w:type="dxa"/>
            <w:tcBorders/>
            <w:shd w:fill="CCEEFF" w:val="clear"/>
            <w:vAlign w:val="center"/>
          </w:tcPr>
          <w:p>
            <w:pPr>
              <w:pStyle w:val="TableContents"/>
              <w:bidi w:val="0"/>
              <w:spacing w:before="0" w:after="283"/>
              <w:jc w:val="left"/>
              <w:rPr/>
            </w:pPr>
            <w:r>
              <w:rPr/>
              <w:t>Tool and equipment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double" w:sz="10" w:space="0" w:color="000000"/>
            </w:tcBorders>
            <w:shd w:fill="FFFFFF" w:val="clear"/>
            <w:tcMar>
              <w:bottom w:w="28" w:type="dxa"/>
            </w:tcMar>
            <w:vAlign w:val="center"/>
          </w:tcPr>
          <w:p>
            <w:pPr>
              <w:pStyle w:val="TableContents"/>
              <w:bidi w:val="0"/>
              <w:spacing w:before="0" w:after="283"/>
              <w:jc w:val="right"/>
              <w:rPr/>
            </w:pPr>
            <w:r>
              <w:rPr/>
              <w:t>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FFFFFF" w:val="clear"/>
            <w:tcMar>
              <w:bottom w:w="28" w:type="dxa"/>
            </w:tcMar>
            <w:vAlign w:val="center"/>
          </w:tcPr>
          <w:p>
            <w:pPr>
              <w:pStyle w:val="TableContents"/>
              <w:bidi w:val="0"/>
              <w:spacing w:before="0" w:after="283"/>
              <w:jc w:val="right"/>
              <w:rPr/>
            </w:pPr>
            <w:r>
              <w:rPr/>
              <w:t>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pPr>
            <w:r>
              <w:rPr/>
              <w:t>1,092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7"/>
        <w:gridCol w:w="60"/>
        <w:gridCol w:w="107"/>
        <w:gridCol w:w="1012"/>
        <w:gridCol w:w="60"/>
        <w:gridCol w:w="60"/>
        <w:gridCol w:w="137"/>
        <w:gridCol w:w="873"/>
        <w:gridCol w:w="60"/>
        <w:gridCol w:w="60"/>
        <w:gridCol w:w="142"/>
        <w:gridCol w:w="803"/>
        <w:gridCol w:w="95"/>
        <w:gridCol w:w="60"/>
        <w:gridCol w:w="141"/>
        <w:gridCol w:w="798"/>
        <w:gridCol w:w="95"/>
        <w:gridCol w:w="60"/>
        <w:gridCol w:w="127"/>
        <w:gridCol w:w="977"/>
        <w:gridCol w:w="95"/>
        <w:gridCol w:w="60"/>
        <w:gridCol w:w="152"/>
        <w:gridCol w:w="963"/>
        <w:gridCol w:w="60"/>
        <w:gridCol w:w="60"/>
        <w:gridCol w:w="110"/>
        <w:gridCol w:w="1041"/>
        <w:gridCol w:w="80"/>
      </w:tblGrid>
      <w:tr>
        <w:trPr/>
        <w:tc>
          <w:tcPr>
            <w:tcW w:w="18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Written off</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2025</w:t>
            </w:r>
          </w:p>
        </w:tc>
        <w:tc>
          <w:tcPr>
            <w:tcW w:w="80" w:type="dxa"/>
            <w:tcBorders/>
            <w:vAlign w:val="center"/>
          </w:tcPr>
          <w:p>
            <w:pPr>
              <w:pStyle w:val="TableContents"/>
              <w:bidi w:val="0"/>
              <w:spacing w:before="0" w:after="283"/>
              <w:jc w:val="center"/>
              <w:rPr/>
            </w:pPr>
            <w:r>
              <w:rPr/>
              <w:t> </w:t>
            </w:r>
          </w:p>
        </w:tc>
      </w:tr>
      <w:tr>
        <w:trPr/>
        <w:tc>
          <w:tcPr>
            <w:tcW w:w="1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vAlign w:val="center"/>
          </w:tcPr>
          <w:p>
            <w:pPr>
              <w:pStyle w:val="TableContents"/>
              <w:bidi w:val="0"/>
              <w:spacing w:before="0" w:after="283"/>
              <w:jc w:val="left"/>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1" w:type="dxa"/>
            <w:gridSpan w:val="2"/>
            <w:tcBorders/>
            <w:vAlign w:val="center"/>
          </w:tcPr>
          <w:p>
            <w:pPr>
              <w:pStyle w:val="TableContents"/>
              <w:bidi w:val="0"/>
              <w:spacing w:before="0" w:after="283"/>
              <w:jc w:val="center"/>
              <w:rPr>
                <w:b/>
              </w:rPr>
            </w:pPr>
            <w:r>
              <w:rPr>
                <w:b/>
              </w:rPr>
              <w:t>USD’000</w:t>
            </w:r>
          </w:p>
        </w:tc>
        <w:tc>
          <w:tcPr>
            <w:tcW w:w="80" w:type="dxa"/>
            <w:tcBorders/>
            <w:vAlign w:val="center"/>
          </w:tcPr>
          <w:p>
            <w:pPr>
              <w:pStyle w:val="TableContents"/>
              <w:bidi w:val="0"/>
              <w:spacing w:before="0" w:after="283"/>
              <w:jc w:val="left"/>
              <w:rPr/>
            </w:pPr>
            <w:r>
              <w:rPr/>
              <w:t> </w:t>
            </w:r>
          </w:p>
        </w:tc>
      </w:tr>
      <w:tr>
        <w:trPr/>
        <w:tc>
          <w:tcPr>
            <w:tcW w:w="1857" w:type="dxa"/>
            <w:tcBorders/>
            <w:vAlign w:val="center"/>
          </w:tcPr>
          <w:p>
            <w:pPr>
              <w:pStyle w:val="TableContents"/>
              <w:bidi w:val="0"/>
              <w:spacing w:before="0" w:after="283"/>
              <w:jc w:val="left"/>
              <w:rPr>
                <w:b/>
              </w:rPr>
            </w:pPr>
            <w:r>
              <w:rPr>
                <w:b/>
              </w:rPr>
              <w:t>At Cost</w:t>
            </w:r>
          </w:p>
        </w:tc>
        <w:tc>
          <w:tcPr>
            <w:tcW w:w="60" w:type="dxa"/>
            <w:tcBorders/>
            <w:vAlign w:val="center"/>
          </w:tcPr>
          <w:p>
            <w:pPr>
              <w:pStyle w:val="TableContents"/>
              <w:bidi w:val="0"/>
              <w:spacing w:before="0" w:after="283"/>
              <w:jc w:val="left"/>
              <w:rPr/>
            </w:pPr>
            <w:r>
              <w:rPr/>
              <w:t> </w:t>
            </w:r>
          </w:p>
        </w:tc>
        <w:tc>
          <w:tcPr>
            <w:tcW w:w="111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1"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200"/>
              <w:jc w:val="left"/>
              <w:rPr/>
            </w:pPr>
            <w:r>
              <w:rPr/>
              <w:t> </w:t>
            </w:r>
          </w:p>
        </w:tc>
      </w:tr>
      <w:tr>
        <w:trPr/>
        <w:tc>
          <w:tcPr>
            <w:tcW w:w="1857" w:type="dxa"/>
            <w:tcBorders/>
            <w:shd w:fill="CCEEFF" w:val="clear"/>
            <w:vAlign w:val="center"/>
          </w:tcPr>
          <w:p>
            <w:pPr>
              <w:pStyle w:val="TableContents"/>
              <w:bidi w:val="0"/>
              <w:spacing w:before="0" w:after="283"/>
              <w:jc w:val="left"/>
              <w:rPr/>
            </w:pPr>
            <w:r>
              <w:rPr/>
              <w:t>Leasehold land</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1,302</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1857" w:type="dxa"/>
            <w:tcBorders/>
            <w:shd w:fill="FFFFFF" w:val="clear"/>
            <w:vAlign w:val="center"/>
          </w:tcPr>
          <w:p>
            <w:pPr>
              <w:pStyle w:val="TableContents"/>
              <w:bidi w:val="0"/>
              <w:spacing w:before="0" w:after="283"/>
              <w:jc w:val="left"/>
              <w:rPr/>
            </w:pPr>
            <w:r>
              <w:rPr/>
              <w:t>Leasehold buildings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1,617</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1857"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477</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1857"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509</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1857" w:type="dxa"/>
            <w:tcBorders/>
            <w:shd w:fill="CCEEFF" w:val="clear"/>
            <w:vAlign w:val="center"/>
          </w:tcPr>
          <w:p>
            <w:pPr>
              <w:pStyle w:val="TableContents"/>
              <w:bidi w:val="0"/>
              <w:spacing w:before="0" w:after="283"/>
              <w:jc w:val="left"/>
              <w:rPr/>
            </w:pPr>
            <w:r>
              <w:rPr/>
              <w:t>Tool and equipment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80" w:type="dxa"/>
            <w:tcBorders/>
            <w:shd w:fill="CCEEFF" w:val="clear"/>
            <w:vAlign w:val="center"/>
          </w:tcPr>
          <w:p>
            <w:pPr>
              <w:pStyle w:val="TableContents"/>
              <w:bidi w:val="0"/>
              <w:spacing w:before="0" w:after="283"/>
              <w:jc w:val="left"/>
              <w:rPr/>
            </w:pPr>
            <w:r>
              <w:rPr/>
              <w:t> </w:t>
            </w:r>
          </w:p>
        </w:tc>
      </w:tr>
      <w:tr>
        <w:trPr/>
        <w:tc>
          <w:tcPr>
            <w:tcW w:w="18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double" w:sz="10" w:space="0" w:color="000000"/>
            </w:tcBorders>
            <w:shd w:fill="FFFFFF" w:val="clear"/>
            <w:tcMar>
              <w:bottom w:w="28" w:type="dxa"/>
            </w:tcMar>
            <w:vAlign w:val="center"/>
          </w:tcPr>
          <w:p>
            <w:pPr>
              <w:pStyle w:val="TableContents"/>
              <w:bidi w:val="0"/>
              <w:spacing w:before="0" w:after="283"/>
              <w:jc w:val="right"/>
              <w:rPr/>
            </w:pPr>
            <w:r>
              <w:rPr/>
              <w:t>3,926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double" w:sz="10" w:space="0" w:color="000000"/>
            </w:tcBorders>
            <w:shd w:fill="FFFFFF" w:val="clear"/>
            <w:tcMar>
              <w:bottom w:w="28" w:type="dxa"/>
            </w:tcMar>
            <w:vAlign w:val="center"/>
          </w:tcPr>
          <w:p>
            <w:pPr>
              <w:pStyle w:val="TableContents"/>
              <w:bidi w:val="0"/>
              <w:spacing w:before="0" w:after="283"/>
              <w:jc w:val="right"/>
              <w:rPr/>
            </w:pPr>
            <w:r>
              <w:rPr/>
              <w:t>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double" w:sz="10"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shd w:fill="FFFFFF" w:val="clear"/>
            <w:tcMar>
              <w:bottom w:w="28" w:type="dxa"/>
            </w:tcM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double" w:sz="10" w:space="0" w:color="000000"/>
            </w:tcBorders>
            <w:shd w:fill="FFFFFF" w:val="clear"/>
            <w:tcMar>
              <w:bottom w:w="28" w:type="dxa"/>
            </w:tcM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pPr>
            <w:r>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10" w:space="0" w:color="000000"/>
            </w:tcBorders>
            <w:shd w:fill="FFFFFF" w:val="clear"/>
            <w:tcMar>
              <w:bottom w:w="28" w:type="dxa"/>
            </w:tcMar>
            <w:vAlign w:val="center"/>
          </w:tcPr>
          <w:p>
            <w:pPr>
              <w:pStyle w:val="TableContents"/>
              <w:bidi w:val="0"/>
              <w:spacing w:before="0" w:after="283"/>
              <w:jc w:val="right"/>
              <w:rPr/>
            </w:pPr>
            <w:r>
              <w:rPr/>
              <w:t>3,959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4"/>
        <w:gridCol w:w="60"/>
        <w:gridCol w:w="94"/>
        <w:gridCol w:w="887"/>
        <w:gridCol w:w="60"/>
        <w:gridCol w:w="60"/>
        <w:gridCol w:w="180"/>
        <w:gridCol w:w="1145"/>
        <w:gridCol w:w="60"/>
        <w:gridCol w:w="60"/>
        <w:gridCol w:w="140"/>
        <w:gridCol w:w="792"/>
        <w:gridCol w:w="95"/>
        <w:gridCol w:w="60"/>
        <w:gridCol w:w="137"/>
        <w:gridCol w:w="772"/>
        <w:gridCol w:w="95"/>
        <w:gridCol w:w="60"/>
        <w:gridCol w:w="111"/>
        <w:gridCol w:w="855"/>
        <w:gridCol w:w="95"/>
        <w:gridCol w:w="60"/>
        <w:gridCol w:w="209"/>
        <w:gridCol w:w="906"/>
        <w:gridCol w:w="60"/>
        <w:gridCol w:w="60"/>
        <w:gridCol w:w="97"/>
        <w:gridCol w:w="922"/>
        <w:gridCol w:w="79"/>
      </w:tblGrid>
      <w:tr>
        <w:trPr/>
        <w:tc>
          <w:tcPr>
            <w:tcW w:w="19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July 1, </w:t>
              <w:b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Depreciation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Transfer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Written off</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Exchange </w:t>
              <w:br/>
              <w:t>differences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as </w:t>
              <w:br/>
              <w:t xml:space="preserve">at June 30, </w:t>
              <w:br/>
              <w:t>2025</w:t>
            </w:r>
          </w:p>
        </w:tc>
        <w:tc>
          <w:tcPr>
            <w:tcW w:w="79" w:type="dxa"/>
            <w:tcBorders/>
            <w:vAlign w:val="center"/>
          </w:tcPr>
          <w:p>
            <w:pPr>
              <w:pStyle w:val="TableContents"/>
              <w:bidi w:val="0"/>
              <w:spacing w:before="0" w:after="283"/>
              <w:jc w:val="center"/>
              <w:rPr/>
            </w:pPr>
            <w:r>
              <w:rPr/>
              <w:t> </w:t>
            </w:r>
          </w:p>
        </w:tc>
      </w:tr>
      <w:tr>
        <w:trPr/>
        <w:tc>
          <w:tcPr>
            <w:tcW w:w="19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vAlign w:val="center"/>
          </w:tcPr>
          <w:p>
            <w:pPr>
              <w:pStyle w:val="TableContents"/>
              <w:bidi w:val="0"/>
              <w:spacing w:before="0" w:after="283"/>
              <w:jc w:val="left"/>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center"/>
              <w:rPr>
                <w:b/>
              </w:rPr>
            </w:pPr>
            <w:r>
              <w:rPr>
                <w:b/>
              </w:rPr>
              <w:t>USD’000</w:t>
            </w:r>
          </w:p>
        </w:tc>
        <w:tc>
          <w:tcPr>
            <w:tcW w:w="79" w:type="dxa"/>
            <w:tcBorders/>
            <w:vAlign w:val="center"/>
          </w:tcPr>
          <w:p>
            <w:pPr>
              <w:pStyle w:val="TableContents"/>
              <w:bidi w:val="0"/>
              <w:spacing w:before="0" w:after="283"/>
              <w:jc w:val="left"/>
              <w:rPr/>
            </w:pPr>
            <w:r>
              <w:rPr/>
              <w:t> </w:t>
            </w:r>
          </w:p>
        </w:tc>
      </w:tr>
      <w:tr>
        <w:trPr/>
        <w:tc>
          <w:tcPr>
            <w:tcW w:w="1994" w:type="dxa"/>
            <w:tcBorders/>
            <w:vAlign w:val="center"/>
          </w:tcPr>
          <w:p>
            <w:pPr>
              <w:pStyle w:val="TableContents"/>
              <w:bidi w:val="0"/>
              <w:spacing w:before="0" w:after="283"/>
              <w:jc w:val="left"/>
              <w:rPr>
                <w:b/>
              </w:rPr>
            </w:pPr>
            <w:r>
              <w:rPr>
                <w:b/>
              </w:rPr>
              <w:t>Accumulated depreciation</w:t>
            </w:r>
          </w:p>
        </w:tc>
        <w:tc>
          <w:tcPr>
            <w:tcW w:w="60" w:type="dxa"/>
            <w:tcBorders/>
            <w:vAlign w:val="center"/>
          </w:tcPr>
          <w:p>
            <w:pPr>
              <w:pStyle w:val="TableContents"/>
              <w:bidi w:val="0"/>
              <w:spacing w:before="0" w:after="283"/>
              <w:jc w:val="left"/>
              <w:rPr/>
            </w:pPr>
            <w:r>
              <w:rPr/>
              <w:t> </w:t>
            </w:r>
          </w:p>
        </w:tc>
        <w:tc>
          <w:tcPr>
            <w:tcW w:w="98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1994" w:type="dxa"/>
            <w:tcBorders/>
            <w:shd w:fill="CCEEFF" w:val="clear"/>
            <w:vAlign w:val="center"/>
          </w:tcPr>
          <w:p>
            <w:pPr>
              <w:pStyle w:val="TableContents"/>
              <w:bidi w:val="0"/>
              <w:spacing w:before="0" w:after="283"/>
              <w:jc w:val="left"/>
              <w:rPr/>
            </w:pPr>
            <w:r>
              <w:rPr/>
              <w:t>Leasehold land</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108</w:t>
            </w:r>
          </w:p>
        </w:tc>
        <w:tc>
          <w:tcPr>
            <w:tcW w:w="79" w:type="dxa"/>
            <w:tcBorders/>
            <w:shd w:fill="CCEEFF" w:val="clear"/>
            <w:vAlign w:val="center"/>
          </w:tcPr>
          <w:p>
            <w:pPr>
              <w:pStyle w:val="TableContents"/>
              <w:bidi w:val="0"/>
              <w:spacing w:before="0" w:after="283"/>
              <w:jc w:val="left"/>
              <w:rPr/>
            </w:pPr>
            <w:r>
              <w:rPr/>
              <w:t> </w:t>
            </w:r>
          </w:p>
        </w:tc>
      </w:tr>
      <w:tr>
        <w:trPr/>
        <w:tc>
          <w:tcPr>
            <w:tcW w:w="1994" w:type="dxa"/>
            <w:tcBorders/>
            <w:shd w:fill="FFFFFF" w:val="clear"/>
            <w:vAlign w:val="center"/>
          </w:tcPr>
          <w:p>
            <w:pPr>
              <w:pStyle w:val="TableContents"/>
              <w:bidi w:val="0"/>
              <w:spacing w:before="0" w:after="283"/>
              <w:jc w:val="left"/>
              <w:rPr/>
            </w:pPr>
            <w:r>
              <w:rPr/>
              <w:t>Leasehold buildings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707</w:t>
            </w:r>
          </w:p>
        </w:tc>
        <w:tc>
          <w:tcPr>
            <w:tcW w:w="79" w:type="dxa"/>
            <w:tcBorders/>
            <w:shd w:fill="FFFFFF" w:val="clear"/>
            <w:vAlign w:val="center"/>
          </w:tcPr>
          <w:p>
            <w:pPr>
              <w:pStyle w:val="TableContents"/>
              <w:bidi w:val="0"/>
              <w:spacing w:before="0" w:after="283"/>
              <w:jc w:val="left"/>
              <w:rPr/>
            </w:pPr>
            <w:r>
              <w:rPr/>
              <w:t> </w:t>
            </w:r>
          </w:p>
        </w:tc>
      </w:tr>
      <w:tr>
        <w:trPr/>
        <w:tc>
          <w:tcPr>
            <w:tcW w:w="1994"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101</w:t>
            </w:r>
          </w:p>
        </w:tc>
        <w:tc>
          <w:tcPr>
            <w:tcW w:w="79" w:type="dxa"/>
            <w:tcBorders/>
            <w:shd w:fill="CCEEFF" w:val="clear"/>
            <w:vAlign w:val="center"/>
          </w:tcPr>
          <w:p>
            <w:pPr>
              <w:pStyle w:val="TableContents"/>
              <w:bidi w:val="0"/>
              <w:spacing w:before="0" w:after="283"/>
              <w:jc w:val="left"/>
              <w:rPr/>
            </w:pPr>
            <w:r>
              <w:rPr/>
              <w:t> </w:t>
            </w:r>
          </w:p>
        </w:tc>
      </w:tr>
      <w:tr>
        <w:trPr/>
        <w:tc>
          <w:tcPr>
            <w:tcW w:w="1994"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223</w:t>
            </w:r>
          </w:p>
        </w:tc>
        <w:tc>
          <w:tcPr>
            <w:tcW w:w="79" w:type="dxa"/>
            <w:tcBorders/>
            <w:shd w:fill="FFFFFF" w:val="clear"/>
            <w:vAlign w:val="center"/>
          </w:tcPr>
          <w:p>
            <w:pPr>
              <w:pStyle w:val="TableContents"/>
              <w:bidi w:val="0"/>
              <w:spacing w:before="0" w:after="283"/>
              <w:jc w:val="left"/>
              <w:rPr/>
            </w:pPr>
            <w:r>
              <w:rPr/>
              <w:t> </w:t>
            </w:r>
          </w:p>
        </w:tc>
      </w:tr>
      <w:tr>
        <w:trPr/>
        <w:tc>
          <w:tcPr>
            <w:tcW w:w="1994" w:type="dxa"/>
            <w:tcBorders/>
            <w:shd w:fill="CCEEFF" w:val="clear"/>
            <w:vAlign w:val="center"/>
          </w:tcPr>
          <w:p>
            <w:pPr>
              <w:pStyle w:val="TableContents"/>
              <w:bidi w:val="0"/>
              <w:spacing w:before="0" w:after="283"/>
              <w:jc w:val="left"/>
              <w:rPr/>
            </w:pPr>
            <w:r>
              <w:rPr/>
              <w:t>Tool and equipment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9" w:type="dxa"/>
            <w:tcBorders/>
            <w:shd w:fill="CCEEFF" w:val="clear"/>
            <w:vAlign w:val="center"/>
          </w:tcPr>
          <w:p>
            <w:pPr>
              <w:pStyle w:val="TableContents"/>
              <w:bidi w:val="0"/>
              <w:spacing w:before="0" w:after="283"/>
              <w:jc w:val="left"/>
              <w:rPr/>
            </w:pPr>
            <w:r>
              <w:rPr/>
              <w:t> </w:t>
            </w:r>
          </w:p>
        </w:tc>
      </w:tr>
      <w:tr>
        <w:trPr/>
        <w:tc>
          <w:tcPr>
            <w:tcW w:w="19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1,092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FFFFFF" w:val="clear"/>
            <w:tcMar>
              <w:bottom w:w="28" w:type="dxa"/>
            </w:tcMar>
            <w:vAlign w:val="center"/>
          </w:tcPr>
          <w:p>
            <w:pPr>
              <w:pStyle w:val="TableContents"/>
              <w:bidi w:val="0"/>
              <w:spacing w:before="0" w:after="283"/>
              <w:jc w:val="right"/>
              <w:rPr/>
            </w:pPr>
            <w:r>
              <w:rPr/>
              <w:t>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FFFFFF" w:val="clear"/>
            <w:tcMar>
              <w:bottom w:w="28" w:type="dxa"/>
            </w:tcM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FFFFFF" w:val="clear"/>
            <w:tcMar>
              <w:bottom w:w="28" w:type="dxa"/>
            </w:tcM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10" w:space="0" w:color="000000"/>
            </w:tcBorders>
            <w:shd w:fill="FFFFFF" w:val="clear"/>
            <w:tcMar>
              <w:bottom w:w="28" w:type="dxa"/>
            </w:tcM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double" w:sz="10" w:space="0" w:color="000000"/>
            </w:tcBorders>
            <w:shd w:fill="FFFFFF" w:val="clear"/>
            <w:tcMar>
              <w:bottom w:w="28" w:type="dxa"/>
            </w:tcM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double" w:sz="10" w:space="0" w:color="000000"/>
            </w:tcBorders>
            <w:shd w:fill="FFFFFF" w:val="clear"/>
            <w:tcMar>
              <w:bottom w:w="28" w:type="dxa"/>
            </w:tcMar>
            <w:vAlign w:val="center"/>
          </w:tcPr>
          <w:p>
            <w:pPr>
              <w:pStyle w:val="TableContents"/>
              <w:bidi w:val="0"/>
              <w:spacing w:before="0" w:after="283"/>
              <w:jc w:val="right"/>
              <w:rPr/>
            </w:pPr>
            <w:r>
              <w:rPr/>
              <w:t>1,150</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155"/>
        <w:gridCol w:w="6470"/>
      </w:tblGrid>
      <w:tr>
        <w:trPr/>
        <w:tc>
          <w:tcPr>
            <w:tcW w:w="155" w:type="dxa"/>
            <w:tcBorders/>
            <w:vAlign w:val="center"/>
          </w:tcPr>
          <w:p>
            <w:pPr>
              <w:pStyle w:val="TableContents"/>
              <w:bidi w:val="0"/>
              <w:spacing w:before="0" w:after="283"/>
              <w:jc w:val="left"/>
              <w:rPr>
                <w:b/>
              </w:rPr>
            </w:pPr>
            <w:r>
              <w:rPr>
                <w:b/>
              </w:rPr>
              <w:t>5</w:t>
            </w:r>
          </w:p>
        </w:tc>
        <w:tc>
          <w:tcPr>
            <w:tcW w:w="6470" w:type="dxa"/>
            <w:tcBorders/>
            <w:vAlign w:val="center"/>
          </w:tcPr>
          <w:p>
            <w:pPr>
              <w:pStyle w:val="TableContents"/>
              <w:bidi w:val="0"/>
              <w:spacing w:before="0" w:after="283"/>
              <w:jc w:val="both"/>
              <w:rPr/>
            </w:pPr>
            <w:r>
              <w:rPr>
                <w:b/>
              </w:rPr>
              <w:t>RIGHT-OF-USE ASSETS AND LEASE LIABILITIES</w:t>
            </w:r>
            <w:r>
              <w:rPr/>
              <w:t xml:space="preserve"> (cont.)</w:t>
            </w:r>
          </w:p>
        </w:tc>
      </w:tr>
    </w:tbl>
    <w:p>
      <w:pPr>
        <w:pStyle w:val="TextBody"/>
        <w:bidi w:val="0"/>
        <w:spacing w:before="0" w:after="0"/>
        <w:jc w:val="left"/>
        <w:rPr/>
      </w:pPr>
      <w:r>
        <w:rPr/>
        <w:t xml:space="preserve">  </w:t>
      </w:r>
    </w:p>
    <w:tbl>
      <w:tblPr>
        <w:tblW w:w="4438" w:type="dxa"/>
        <w:jc w:val="left"/>
        <w:tblInd w:w="0" w:type="dxa"/>
        <w:tblLayout w:type="fixed"/>
        <w:tblCellMar>
          <w:top w:w="0" w:type="dxa"/>
          <w:left w:w="0" w:type="dxa"/>
          <w:bottom w:w="0" w:type="dxa"/>
          <w:right w:w="0" w:type="dxa"/>
        </w:tblCellMar>
      </w:tblPr>
      <w:tblGrid>
        <w:gridCol w:w="2285"/>
        <w:gridCol w:w="60"/>
        <w:gridCol w:w="91"/>
        <w:gridCol w:w="858"/>
        <w:gridCol w:w="60"/>
        <w:gridCol w:w="60"/>
        <w:gridCol w:w="91"/>
        <w:gridCol w:w="858"/>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2285" w:type="dxa"/>
            <w:tcBorders/>
            <w:vAlign w:val="center"/>
          </w:tcPr>
          <w:p>
            <w:pPr>
              <w:pStyle w:val="TableContents"/>
              <w:bidi w:val="0"/>
              <w:spacing w:before="0" w:after="283"/>
              <w:jc w:val="left"/>
              <w:rPr>
                <w:b/>
              </w:rPr>
            </w:pPr>
            <w:r>
              <w:rPr>
                <w:b/>
              </w:rPr>
              <w:t>Carrying amounts</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285" w:type="dxa"/>
            <w:tcBorders/>
            <w:shd w:fill="CCEEFF" w:val="clear"/>
            <w:vAlign w:val="center"/>
          </w:tcPr>
          <w:p>
            <w:pPr>
              <w:pStyle w:val="TableContents"/>
              <w:bidi w:val="0"/>
              <w:spacing w:before="0" w:after="283"/>
              <w:jc w:val="left"/>
              <w:rPr/>
            </w:pPr>
            <w:r>
              <w:rPr/>
              <w:t>Leasehold land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1,194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pPr>
            <w:r>
              <w:rPr/>
              <w:t>Leasehold buildings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910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285" w:type="dxa"/>
            <w:tcBorders/>
            <w:shd w:fill="CCEEFF" w:val="clear"/>
            <w:vAlign w:val="center"/>
          </w:tcPr>
          <w:p>
            <w:pPr>
              <w:pStyle w:val="TableContents"/>
              <w:bidi w:val="0"/>
              <w:spacing w:before="0" w:after="283"/>
              <w:jc w:val="left"/>
              <w:rPr/>
            </w:pPr>
            <w:r>
              <w:rPr/>
              <w:t>Motor vehicles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376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pPr>
            <w:r>
              <w:rPr/>
              <w:t>Plant and machinery</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286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285" w:type="dxa"/>
            <w:tcBorders/>
            <w:shd w:fill="CCEEFF" w:val="clear"/>
            <w:vAlign w:val="center"/>
          </w:tcPr>
          <w:p>
            <w:pPr>
              <w:pStyle w:val="TableContents"/>
              <w:bidi w:val="0"/>
              <w:spacing w:before="0" w:after="283"/>
              <w:jc w:val="left"/>
              <w:rPr/>
            </w:pPr>
            <w:r>
              <w:rPr/>
              <w:t>Tool and equipment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pPr>
            <w:r>
              <w:rPr/>
              <w:t>Total right-of-use assets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2,834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2,809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During the reporting year, the Group acquired motor vehicles, plant, machinery, and tool and equipment with a purchase price of approximately USD296,000 (2024: USD328,000). An amount of approximately USD109,000 (2024: USD76,000) was paid in cash, and the remainder of USD187,000 (2024: USD252,000) was financed by finance lease.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The following depreciation amounts are recognized during periods ended June 30, 2023, 2024 and 2025 respectively</w:t>
            </w:r>
          </w:p>
        </w:tc>
      </w:tr>
    </w:tbl>
    <w:p>
      <w:pPr>
        <w:pStyle w:val="TextBody"/>
        <w:bidi w:val="0"/>
        <w:spacing w:before="0" w:after="0"/>
        <w:ind w:left="96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bl>
      <w:tblPr>
        <w:tblW w:w="6872" w:type="dxa"/>
        <w:jc w:val="left"/>
        <w:tblInd w:w="0" w:type="dxa"/>
        <w:tblLayout w:type="fixed"/>
        <w:tblCellMar>
          <w:top w:w="0" w:type="dxa"/>
          <w:left w:w="0" w:type="dxa"/>
          <w:bottom w:w="0" w:type="dxa"/>
          <w:right w:w="0" w:type="dxa"/>
        </w:tblCellMar>
      </w:tblPr>
      <w:tblGrid>
        <w:gridCol w:w="3650"/>
        <w:gridCol w:w="60"/>
        <w:gridCol w:w="128"/>
        <w:gridCol w:w="821"/>
        <w:gridCol w:w="60"/>
        <w:gridCol w:w="60"/>
        <w:gridCol w:w="128"/>
        <w:gridCol w:w="821"/>
        <w:gridCol w:w="60"/>
        <w:gridCol w:w="60"/>
        <w:gridCol w:w="128"/>
        <w:gridCol w:w="821"/>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3650" w:type="dxa"/>
            <w:tcBorders/>
            <w:shd w:fill="CCEEFF" w:val="clear"/>
            <w:vAlign w:val="center"/>
          </w:tcPr>
          <w:p>
            <w:pPr>
              <w:pStyle w:val="TableContents"/>
              <w:bidi w:val="0"/>
              <w:spacing w:before="0" w:after="283"/>
              <w:jc w:val="left"/>
              <w:rPr/>
            </w:pPr>
            <w:r>
              <w:rPr/>
              <w:t>Cost of goods sold (Note 23)</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650" w:type="dxa"/>
            <w:tcBorders/>
            <w:shd w:fill="FFFFFF" w:val="clear"/>
            <w:vAlign w:val="center"/>
          </w:tcPr>
          <w:p>
            <w:pPr>
              <w:pStyle w:val="TableContents"/>
              <w:bidi w:val="0"/>
              <w:spacing w:before="0" w:after="283"/>
              <w:jc w:val="left"/>
              <w:rPr/>
            </w:pPr>
            <w:r>
              <w:rPr/>
              <w:t>Administrative expenses (Note 24)</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145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650" w:type="dxa"/>
            <w:tcBorders/>
            <w:shd w:fill="CCEEFF" w:val="clear"/>
            <w:vAlign w:val="center"/>
          </w:tcPr>
          <w:p>
            <w:pPr>
              <w:pStyle w:val="TableContents"/>
              <w:bidi w:val="0"/>
              <w:spacing w:before="0" w:after="283"/>
              <w:jc w:val="left"/>
              <w:rPr/>
            </w:pPr>
            <w:r>
              <w:rPr/>
              <w:t>Depreciation capitalized in inventories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264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571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both"/>
              <w:rPr/>
            </w:pPr>
            <w:r>
              <w:rPr/>
              <w:t>Certain leasehold land and buildings of the Group have been pledged as securities to banks for bank borrowings granted to the Group as disclosed in Note 15 to the financial statements with carrying amounts as follows:</w:t>
            </w:r>
          </w:p>
        </w:tc>
      </w:tr>
    </w:tbl>
    <w:p>
      <w:pPr>
        <w:pStyle w:val="TextBody"/>
        <w:bidi w:val="0"/>
        <w:spacing w:before="0" w:after="0"/>
        <w:ind w:left="960" w:right="0" w:hanging="480"/>
        <w:jc w:val="both"/>
        <w:rPr>
          <w:caps w:val="false"/>
          <w:smallCaps w:val="false"/>
        </w:rPr>
      </w:pPr>
      <w:r>
        <w:rPr>
          <w:caps w:val="false"/>
          <w:smallCaps w:val="false"/>
        </w:rPr>
        <w:t> </w:t>
      </w:r>
    </w:p>
    <w:tbl>
      <w:tblPr>
        <w:tblW w:w="4093" w:type="dxa"/>
        <w:jc w:val="left"/>
        <w:tblInd w:w="0" w:type="dxa"/>
        <w:tblLayout w:type="fixed"/>
        <w:tblCellMar>
          <w:top w:w="0" w:type="dxa"/>
          <w:left w:w="0" w:type="dxa"/>
          <w:bottom w:w="0" w:type="dxa"/>
          <w:right w:w="0" w:type="dxa"/>
        </w:tblCellMar>
      </w:tblPr>
      <w:tblGrid>
        <w:gridCol w:w="1940"/>
        <w:gridCol w:w="60"/>
        <w:gridCol w:w="91"/>
        <w:gridCol w:w="858"/>
        <w:gridCol w:w="60"/>
        <w:gridCol w:w="60"/>
        <w:gridCol w:w="91"/>
        <w:gridCol w:w="858"/>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1940" w:type="dxa"/>
            <w:tcBorders/>
            <w:shd w:fill="CCEEFF" w:val="clear"/>
            <w:vAlign w:val="center"/>
          </w:tcPr>
          <w:p>
            <w:pPr>
              <w:pStyle w:val="TableContents"/>
              <w:bidi w:val="0"/>
              <w:spacing w:before="0" w:after="283"/>
              <w:jc w:val="left"/>
              <w:rPr/>
            </w:pPr>
            <w:r>
              <w:rPr/>
              <w:t>Leasehold land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1,194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940" w:type="dxa"/>
            <w:tcBorders/>
            <w:shd w:fill="FFFFFF" w:val="clear"/>
            <w:vAlign w:val="center"/>
          </w:tcPr>
          <w:p>
            <w:pPr>
              <w:pStyle w:val="TableContents"/>
              <w:bidi w:val="0"/>
              <w:spacing w:before="0" w:after="283"/>
              <w:jc w:val="left"/>
              <w:rPr/>
            </w:pPr>
            <w:r>
              <w:rPr/>
              <w:t>Leasehold buildings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206</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1,400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75"/>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1490" w:type="dxa"/>
            <w:tcBorders/>
            <w:vAlign w:val="center"/>
          </w:tcPr>
          <w:p>
            <w:pPr>
              <w:pStyle w:val="TableContents"/>
              <w:bidi w:val="0"/>
              <w:spacing w:before="0" w:after="283"/>
              <w:jc w:val="both"/>
              <w:rPr/>
            </w:pPr>
            <w:r>
              <w:rPr/>
              <w:t>Lease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3928" w:type="dxa"/>
        <w:jc w:val="left"/>
        <w:tblInd w:w="0" w:type="dxa"/>
        <w:tblLayout w:type="fixed"/>
        <w:tblCellMar>
          <w:top w:w="0" w:type="dxa"/>
          <w:left w:w="0" w:type="dxa"/>
          <w:bottom w:w="0" w:type="dxa"/>
          <w:right w:w="0" w:type="dxa"/>
        </w:tblCellMar>
      </w:tblPr>
      <w:tblGrid>
        <w:gridCol w:w="1775"/>
        <w:gridCol w:w="60"/>
        <w:gridCol w:w="91"/>
        <w:gridCol w:w="858"/>
        <w:gridCol w:w="60"/>
        <w:gridCol w:w="60"/>
        <w:gridCol w:w="91"/>
        <w:gridCol w:w="858"/>
        <w:gridCol w:w="75"/>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1775" w:type="dxa"/>
            <w:tcBorders/>
            <w:vAlign w:val="center"/>
          </w:tcPr>
          <w:p>
            <w:pPr>
              <w:pStyle w:val="TableContents"/>
              <w:bidi w:val="0"/>
              <w:spacing w:before="0" w:after="283"/>
              <w:jc w:val="left"/>
              <w:rPr>
                <w:b/>
              </w:rPr>
            </w:pPr>
            <w:r>
              <w:rPr>
                <w:b/>
              </w:rPr>
              <w:t>Non-current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1775" w:type="dxa"/>
            <w:tcBorders/>
            <w:vAlign w:val="center"/>
          </w:tcPr>
          <w:p>
            <w:pPr>
              <w:pStyle w:val="TableContents"/>
              <w:bidi w:val="0"/>
              <w:spacing w:before="0" w:after="283"/>
              <w:jc w:val="left"/>
              <w:rPr/>
            </w:pPr>
            <w:r>
              <w:rPr/>
              <w:t>Lease liabilities</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 </w:t>
            </w:r>
            <w:r>
              <w:rPr/>
              <w:t>Finance leases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144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 </w:t>
            </w:r>
            <w:r>
              <w:rPr/>
              <w:t>Operating leases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356</w:t>
            </w:r>
          </w:p>
        </w:tc>
        <w:tc>
          <w:tcPr>
            <w:tcW w:w="75"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775" w:type="dxa"/>
            <w:tcBorders/>
            <w:shd w:fill="FFFFFF" w:val="clear"/>
            <w:vAlign w:val="center"/>
          </w:tcPr>
          <w:p>
            <w:pPr>
              <w:pStyle w:val="TableContents"/>
              <w:bidi w:val="0"/>
              <w:spacing w:before="0" w:after="283"/>
              <w:jc w:val="left"/>
              <w:rPr>
                <w:b/>
              </w:rPr>
            </w:pPr>
            <w:r>
              <w:rPr>
                <w:b/>
              </w:rPr>
              <w:t>Current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77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 </w:t>
            </w:r>
            <w:r>
              <w:rPr/>
              <w:t>Finance leases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 </w:t>
            </w:r>
            <w:r>
              <w:rPr/>
              <w:t>Operating leases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771</w:t>
            </w:r>
          </w:p>
        </w:tc>
        <w:tc>
          <w:tcPr>
            <w:tcW w:w="75"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75"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1,325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155"/>
        <w:gridCol w:w="6470"/>
      </w:tblGrid>
      <w:tr>
        <w:trPr/>
        <w:tc>
          <w:tcPr>
            <w:tcW w:w="155" w:type="dxa"/>
            <w:tcBorders/>
            <w:vAlign w:val="center"/>
          </w:tcPr>
          <w:p>
            <w:pPr>
              <w:pStyle w:val="TableContents"/>
              <w:bidi w:val="0"/>
              <w:spacing w:before="0" w:after="283"/>
              <w:jc w:val="left"/>
              <w:rPr>
                <w:b/>
              </w:rPr>
            </w:pPr>
            <w:r>
              <w:rPr>
                <w:b/>
              </w:rPr>
              <w:t>5</w:t>
            </w:r>
          </w:p>
        </w:tc>
        <w:tc>
          <w:tcPr>
            <w:tcW w:w="6470" w:type="dxa"/>
            <w:tcBorders/>
            <w:vAlign w:val="center"/>
          </w:tcPr>
          <w:p>
            <w:pPr>
              <w:pStyle w:val="TableContents"/>
              <w:bidi w:val="0"/>
              <w:spacing w:before="0" w:after="283"/>
              <w:jc w:val="both"/>
              <w:rPr/>
            </w:pPr>
            <w:r>
              <w:rPr>
                <w:b/>
              </w:rPr>
              <w:t>RIGHT-OF-USE ASSETS AND LEASE LIABILITIES</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of lease liabilities during the financial year are as follows:</w:t>
      </w:r>
    </w:p>
    <w:p>
      <w:pPr>
        <w:pStyle w:val="TextBody"/>
        <w:bidi w:val="0"/>
        <w:spacing w:before="0" w:after="0"/>
        <w:jc w:val="left"/>
        <w:rPr/>
      </w:pPr>
      <w:r>
        <w:rPr/>
        <w:t xml:space="preserve">  </w:t>
      </w:r>
    </w:p>
    <w:tbl>
      <w:tblPr>
        <w:tblW w:w="6923" w:type="dxa"/>
        <w:jc w:val="left"/>
        <w:tblInd w:w="0" w:type="dxa"/>
        <w:tblLayout w:type="fixed"/>
        <w:tblCellMar>
          <w:top w:w="0" w:type="dxa"/>
          <w:left w:w="0" w:type="dxa"/>
          <w:bottom w:w="0" w:type="dxa"/>
          <w:right w:w="0" w:type="dxa"/>
        </w:tblCellMar>
      </w:tblPr>
      <w:tblGrid>
        <w:gridCol w:w="4700"/>
        <w:gridCol w:w="60"/>
        <w:gridCol w:w="91"/>
        <w:gridCol w:w="858"/>
        <w:gridCol w:w="95"/>
        <w:gridCol w:w="60"/>
        <w:gridCol w:w="91"/>
        <w:gridCol w:w="858"/>
        <w:gridCol w:w="110"/>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ind w:left="0" w:right="0" w:hanging="200"/>
              <w:jc w:val="left"/>
              <w:rPr/>
            </w:pPr>
            <w:r>
              <w:rPr/>
              <w:t> </w:t>
            </w:r>
          </w:p>
        </w:tc>
      </w:tr>
      <w:tr>
        <w:trPr/>
        <w:tc>
          <w:tcPr>
            <w:tcW w:w="4700" w:type="dxa"/>
            <w:tcBorders/>
            <w:vAlign w:val="center"/>
          </w:tcPr>
          <w:p>
            <w:pPr>
              <w:pStyle w:val="TableContents"/>
              <w:bidi w:val="0"/>
              <w:spacing w:before="0" w:after="283"/>
              <w:jc w:val="left"/>
              <w:rPr>
                <w:b/>
              </w:rPr>
            </w:pPr>
            <w:r>
              <w:rPr>
                <w:b/>
              </w:rPr>
              <w:t>Lease Liabilities</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4700" w:type="dxa"/>
            <w:tcBorders/>
            <w:shd w:fill="CCEEFF" w:val="clear"/>
            <w:vAlign w:val="center"/>
          </w:tcPr>
          <w:p>
            <w:pPr>
              <w:pStyle w:val="TableContents"/>
              <w:bidi w:val="0"/>
              <w:spacing w:before="0" w:after="283"/>
              <w:jc w:val="left"/>
              <w:rPr/>
            </w:pPr>
            <w:r>
              <w:rPr/>
              <w:t>Balance brought forward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1,616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700" w:type="dxa"/>
            <w:tcBorders/>
            <w:shd w:fill="FFFFFF" w:val="clear"/>
            <w:vAlign w:val="center"/>
          </w:tcPr>
          <w:p>
            <w:pPr>
              <w:pStyle w:val="TableContents"/>
              <w:bidi w:val="0"/>
              <w:spacing w:before="0" w:after="283"/>
              <w:jc w:val="left"/>
              <w:rPr/>
            </w:pPr>
            <w:r>
              <w:rPr/>
              <w:t>Add: Imputed interest (Note 26)</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95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700" w:type="dxa"/>
            <w:tcBorders/>
            <w:shd w:fill="CCEEFF" w:val="clear"/>
            <w:vAlign w:val="center"/>
          </w:tcPr>
          <w:p>
            <w:pPr>
              <w:pStyle w:val="TableContents"/>
              <w:bidi w:val="0"/>
              <w:spacing w:before="0" w:after="283"/>
              <w:jc w:val="left"/>
              <w:rPr/>
            </w:pPr>
            <w:r>
              <w:rPr/>
              <w:t>Less: Repayments principal and interests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(662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700" w:type="dxa"/>
            <w:tcBorders/>
            <w:shd w:fill="FFFFFF" w:val="clear"/>
            <w:vAlign w:val="center"/>
          </w:tcPr>
          <w:p>
            <w:pPr>
              <w:pStyle w:val="TableContents"/>
              <w:bidi w:val="0"/>
              <w:spacing w:before="0" w:after="283"/>
              <w:jc w:val="left"/>
              <w:rPr/>
            </w:pPr>
            <w:r>
              <w:rPr/>
              <w:t>Add: Capitalization of new leases during the year</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70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700" w:type="dxa"/>
            <w:tcBorders/>
            <w:shd w:fill="FFFFFF" w:val="clear"/>
            <w:vAlign w:val="center"/>
          </w:tcPr>
          <w:p>
            <w:pPr>
              <w:pStyle w:val="TableContents"/>
              <w:bidi w:val="0"/>
              <w:spacing w:before="0" w:after="283"/>
              <w:jc w:val="left"/>
              <w:rPr/>
            </w:pPr>
            <w:r>
              <w:rPr/>
              <w:t>Balance carried forward</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1,325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0" w:type="dxa"/>
            <w:tcBorders/>
            <w:vAlign w:val="center"/>
          </w:tcPr>
          <w:p>
            <w:pPr>
              <w:pStyle w:val="TableContents"/>
              <w:bidi w:val="0"/>
              <w:spacing w:before="0" w:after="283"/>
              <w:jc w:val="both"/>
              <w:rPr/>
            </w:pPr>
            <w:r>
              <w:rPr/>
              <w:t>The Group determines the lease term of a lease as the non-cancellable period of the lease, together with periods covered by an option to extend or to terminate the lease if the Group is reasonably certain to exercise the relevant options. Management has considered the relevant facts and circumstances that create an economic incentive for the Group to either exercise the option to extend the lease, or to exercise the option to terminate the lease. Any differences in expectations from the original estimates would impact the carrying amounts of the lease liabilities of the Group. The finance lease liabilities of the Group attract interest at rates ranging from 4.39% to 15.78% (2024: 3.55% to 8.70%) per annum. The lease payments relating to operating lease liabilities are discounted using the annual incremental borrowing rates of the Group ranging from 3.50% to 8.90% (2024: 3.50% to 8.90%).</w:t>
            </w:r>
          </w:p>
        </w:tc>
      </w:tr>
    </w:tbl>
    <w:p>
      <w:pPr>
        <w:pStyle w:val="TextBody"/>
        <w:bidi w:val="0"/>
        <w:spacing w:before="0" w:after="0"/>
        <w:ind w:left="960" w:right="0" w:hanging="48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29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7190" w:type="dxa"/>
            <w:tcBorders/>
            <w:vAlign w:val="center"/>
          </w:tcPr>
          <w:p>
            <w:pPr>
              <w:pStyle w:val="TableContents"/>
              <w:bidi w:val="0"/>
              <w:spacing w:before="0" w:after="283"/>
              <w:jc w:val="both"/>
              <w:rPr/>
            </w:pPr>
            <w:r>
              <w:rPr/>
              <w:t>The following amounts are recognized in the profit or loss relating to leases:</w:t>
            </w:r>
          </w:p>
        </w:tc>
      </w:tr>
    </w:tbl>
    <w:p>
      <w:pPr>
        <w:pStyle w:val="TextBody"/>
        <w:bidi w:val="0"/>
        <w:spacing w:before="0" w:after="0"/>
        <w:ind w:left="960" w:right="0" w:hanging="480"/>
        <w:jc w:val="both"/>
        <w:rPr>
          <w:caps w:val="false"/>
          <w:smallCaps w:val="false"/>
        </w:rPr>
      </w:pPr>
      <w:r>
        <w:rPr>
          <w:caps w:val="false"/>
          <w:smallCaps w:val="false"/>
        </w:rPr>
        <w:t> </w:t>
      </w:r>
    </w:p>
    <w:tbl>
      <w:tblPr>
        <w:tblW w:w="8852" w:type="dxa"/>
        <w:jc w:val="left"/>
        <w:tblInd w:w="0" w:type="dxa"/>
        <w:tblLayout w:type="fixed"/>
        <w:tblCellMar>
          <w:top w:w="0" w:type="dxa"/>
          <w:left w:w="0" w:type="dxa"/>
          <w:bottom w:w="0" w:type="dxa"/>
          <w:right w:w="0" w:type="dxa"/>
        </w:tblCellMar>
      </w:tblPr>
      <w:tblGrid>
        <w:gridCol w:w="5630"/>
        <w:gridCol w:w="60"/>
        <w:gridCol w:w="128"/>
        <w:gridCol w:w="821"/>
        <w:gridCol w:w="60"/>
        <w:gridCol w:w="60"/>
        <w:gridCol w:w="128"/>
        <w:gridCol w:w="821"/>
        <w:gridCol w:w="60"/>
        <w:gridCol w:w="60"/>
        <w:gridCol w:w="128"/>
        <w:gridCol w:w="821"/>
        <w:gridCol w:w="75"/>
      </w:tblGrid>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5630" w:type="dxa"/>
            <w:tcBorders/>
            <w:shd w:fill="CCEEFF" w:val="clear"/>
            <w:vAlign w:val="center"/>
          </w:tcPr>
          <w:p>
            <w:pPr>
              <w:pStyle w:val="TableContents"/>
              <w:bidi w:val="0"/>
              <w:spacing w:before="0" w:after="283"/>
              <w:jc w:val="left"/>
              <w:rPr/>
            </w:pPr>
            <w:r>
              <w:rPr/>
              <w:t>Depreciation on right-of-use 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426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630" w:type="dxa"/>
            <w:tcBorders/>
            <w:shd w:fill="FFFFFF" w:val="clear"/>
            <w:vAlign w:val="center"/>
          </w:tcPr>
          <w:p>
            <w:pPr>
              <w:pStyle w:val="TableContents"/>
              <w:bidi w:val="0"/>
              <w:spacing w:before="0" w:after="283"/>
              <w:jc w:val="left"/>
              <w:rPr/>
            </w:pPr>
            <w:r>
              <w:rPr/>
              <w:t>Interest expense on lease liabilities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95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630" w:type="dxa"/>
            <w:tcBorders/>
            <w:shd w:fill="CCEEFF" w:val="clear"/>
            <w:vAlign w:val="center"/>
          </w:tcPr>
          <w:p>
            <w:pPr>
              <w:pStyle w:val="TableContents"/>
              <w:bidi w:val="0"/>
              <w:spacing w:before="0" w:after="283"/>
              <w:jc w:val="left"/>
              <w:rPr/>
            </w:pPr>
            <w:r>
              <w:rPr/>
              <w:t>Short term and low value lease expenses (Notes 23 and 24)</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215</w:t>
            </w:r>
          </w:p>
        </w:tc>
        <w:tc>
          <w:tcPr>
            <w:tcW w:w="75"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736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9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5510" w:type="dxa"/>
            <w:tcBorders/>
            <w:vAlign w:val="center"/>
          </w:tcPr>
          <w:p>
            <w:pPr>
              <w:pStyle w:val="TableContents"/>
              <w:bidi w:val="0"/>
              <w:spacing w:before="0" w:after="283"/>
              <w:jc w:val="both"/>
              <w:rPr/>
            </w:pPr>
            <w:r>
              <w:rPr/>
              <w:t>Reconciliation of liabilities arising from financial activities</w:t>
            </w:r>
          </w:p>
        </w:tc>
      </w:tr>
    </w:tbl>
    <w:p>
      <w:pPr>
        <w:pStyle w:val="TextBody"/>
        <w:bidi w:val="0"/>
        <w:spacing w:before="0" w:after="0"/>
        <w:ind w:left="960" w:right="0" w:hanging="480"/>
        <w:jc w:val="both"/>
        <w:rPr>
          <w:caps w:val="false"/>
          <w:smallCaps w:val="false"/>
        </w:rPr>
      </w:pPr>
      <w:r>
        <w:rPr>
          <w:caps w:val="false"/>
          <w:smallCaps w:val="false"/>
        </w:rPr>
        <w:t> </w:t>
      </w:r>
    </w:p>
    <w:tbl>
      <w:tblPr>
        <w:tblW w:w="7667" w:type="dxa"/>
        <w:jc w:val="left"/>
        <w:tblInd w:w="0" w:type="dxa"/>
        <w:tblLayout w:type="fixed"/>
        <w:tblCellMar>
          <w:top w:w="0" w:type="dxa"/>
          <w:left w:w="0" w:type="dxa"/>
          <w:bottom w:w="0" w:type="dxa"/>
          <w:right w:w="0" w:type="dxa"/>
        </w:tblCellMar>
      </w:tblPr>
      <w:tblGrid>
        <w:gridCol w:w="4340"/>
        <w:gridCol w:w="60"/>
        <w:gridCol w:w="91"/>
        <w:gridCol w:w="858"/>
        <w:gridCol w:w="95"/>
        <w:gridCol w:w="60"/>
        <w:gridCol w:w="91"/>
        <w:gridCol w:w="858"/>
        <w:gridCol w:w="95"/>
        <w:gridCol w:w="60"/>
        <w:gridCol w:w="91"/>
        <w:gridCol w:w="858"/>
        <w:gridCol w:w="110"/>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ind w:left="0" w:right="0" w:hanging="200"/>
              <w:jc w:val="left"/>
              <w:rPr/>
            </w:pPr>
            <w:r>
              <w:rPr/>
              <w:t> </w:t>
            </w:r>
          </w:p>
        </w:tc>
      </w:tr>
      <w:tr>
        <w:trPr/>
        <w:tc>
          <w:tcPr>
            <w:tcW w:w="4340" w:type="dxa"/>
            <w:tcBorders/>
            <w:vAlign w:val="center"/>
          </w:tcPr>
          <w:p>
            <w:pPr>
              <w:pStyle w:val="TableContents"/>
              <w:bidi w:val="0"/>
              <w:spacing w:before="0" w:after="283"/>
              <w:jc w:val="left"/>
              <w:rPr>
                <w:b/>
              </w:rPr>
            </w:pPr>
            <w:r>
              <w:rPr>
                <w:b/>
              </w:rPr>
              <w:t>Lease liabilities</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4340" w:type="dxa"/>
            <w:tcBorders/>
            <w:shd w:fill="CCEEFF" w:val="clear"/>
            <w:vAlign w:val="center"/>
          </w:tcPr>
          <w:p>
            <w:pPr>
              <w:pStyle w:val="TableContents"/>
              <w:bidi w:val="0"/>
              <w:spacing w:before="0" w:after="283"/>
              <w:jc w:val="left"/>
              <w:rPr/>
            </w:pPr>
            <w:r>
              <w:rPr/>
              <w:t>As at July 1</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1,616</w:t>
            </w:r>
          </w:p>
        </w:tc>
        <w:tc>
          <w:tcPr>
            <w:tcW w:w="11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40" w:type="dxa"/>
            <w:tcBorders/>
            <w:shd w:fill="CCEEFF" w:val="clear"/>
            <w:vAlign w:val="center"/>
          </w:tcPr>
          <w:p>
            <w:pPr>
              <w:pStyle w:val="TableContents"/>
              <w:bidi w:val="0"/>
              <w:spacing w:before="0" w:after="283"/>
              <w:jc w:val="left"/>
              <w:rPr/>
            </w:pPr>
            <w:r>
              <w:rPr/>
              <w:t>Cash flows: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40" w:type="dxa"/>
            <w:tcBorders/>
            <w:shd w:fill="FFFFFF" w:val="clear"/>
            <w:vAlign w:val="center"/>
          </w:tcPr>
          <w:p>
            <w:pPr>
              <w:pStyle w:val="TableContents"/>
              <w:bidi w:val="0"/>
              <w:spacing w:before="0" w:after="283"/>
              <w:jc w:val="left"/>
              <w:rPr/>
            </w:pPr>
            <w:r>
              <w:rPr/>
              <w:t xml:space="preserve">– </w:t>
            </w:r>
            <w:r>
              <w:rPr/>
              <w:t>Payments of lease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(567</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40" w:type="dxa"/>
            <w:tcBorders/>
            <w:shd w:fill="CCEEFF" w:val="clear"/>
            <w:vAlign w:val="center"/>
          </w:tcPr>
          <w:p>
            <w:pPr>
              <w:pStyle w:val="TableContents"/>
              <w:bidi w:val="0"/>
              <w:spacing w:before="0" w:after="283"/>
              <w:jc w:val="left"/>
              <w:rPr/>
            </w:pPr>
            <w:r>
              <w:rPr/>
              <w:t xml:space="preserve">– </w:t>
            </w:r>
            <w:r>
              <w:rPr/>
              <w:t>Payments of lease interests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11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(662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40" w:type="dxa"/>
            <w:tcBorders/>
            <w:shd w:fill="CCEEFF" w:val="clear"/>
            <w:vAlign w:val="center"/>
          </w:tcPr>
          <w:p>
            <w:pPr>
              <w:pStyle w:val="TableContents"/>
              <w:bidi w:val="0"/>
              <w:spacing w:before="0" w:after="283"/>
              <w:jc w:val="left"/>
              <w:rPr/>
            </w:pPr>
            <w:r>
              <w:rPr/>
              <w:t>Non-cash flows: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40" w:type="dxa"/>
            <w:tcBorders/>
            <w:shd w:fill="FFFFFF" w:val="clear"/>
            <w:vAlign w:val="center"/>
          </w:tcPr>
          <w:p>
            <w:pPr>
              <w:pStyle w:val="TableContents"/>
              <w:bidi w:val="0"/>
              <w:spacing w:before="0" w:after="283"/>
              <w:jc w:val="left"/>
              <w:rPr/>
            </w:pPr>
            <w:r>
              <w:rPr/>
              <w:t xml:space="preserve">– </w:t>
            </w:r>
            <w:r>
              <w:rPr/>
              <w:t>Capitalization of new leases during the year</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198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40" w:type="dxa"/>
            <w:tcBorders/>
            <w:shd w:fill="CCEEFF" w:val="clear"/>
            <w:vAlign w:val="center"/>
          </w:tcPr>
          <w:p>
            <w:pPr>
              <w:pStyle w:val="TableContents"/>
              <w:bidi w:val="0"/>
              <w:spacing w:before="0" w:after="283"/>
              <w:jc w:val="left"/>
              <w:rPr/>
            </w:pPr>
            <w:r>
              <w:rPr/>
              <w:t xml:space="preserve">– </w:t>
            </w:r>
            <w:r>
              <w:rPr/>
              <w:t>Interest expense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40" w:type="dxa"/>
            <w:tcBorders/>
            <w:shd w:fill="FFFFFF" w:val="clear"/>
            <w:vAlign w:val="center"/>
          </w:tcPr>
          <w:p>
            <w:pPr>
              <w:pStyle w:val="TableContents"/>
              <w:bidi w:val="0"/>
              <w:spacing w:before="0" w:after="283"/>
              <w:jc w:val="left"/>
              <w:rPr/>
            </w:pPr>
            <w:r>
              <w:rPr/>
              <w:t xml:space="preserve">– </w:t>
            </w:r>
            <w:r>
              <w:rPr/>
              <w:t>Exchange differences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78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40" w:type="dxa"/>
            <w:tcBorders/>
            <w:shd w:fill="CCEEFF" w:val="clear"/>
            <w:vAlign w:val="center"/>
          </w:tcPr>
          <w:p>
            <w:pPr>
              <w:pStyle w:val="TableContents"/>
              <w:bidi w:val="0"/>
              <w:spacing w:before="0" w:after="283"/>
              <w:jc w:val="left"/>
              <w:rPr/>
            </w:pPr>
            <w:r>
              <w:rPr/>
              <w:t>As at June 30</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1,325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(i)</w:t>
            </w:r>
          </w:p>
        </w:tc>
        <w:tc>
          <w:tcPr>
            <w:tcW w:w="9916" w:type="dxa"/>
            <w:tcBorders/>
            <w:vAlign w:val="center"/>
          </w:tcPr>
          <w:p>
            <w:pPr>
              <w:pStyle w:val="TableContents"/>
              <w:bidi w:val="0"/>
              <w:spacing w:before="0" w:after="283"/>
              <w:jc w:val="both"/>
              <w:rPr/>
            </w:pPr>
            <w:r>
              <w:rPr/>
              <w:t>The total cash outflows for leases of the Group during the current financial year amounted to USD662,000 (2024: USD657,000).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55"/>
        <w:gridCol w:w="7835"/>
      </w:tblGrid>
      <w:tr>
        <w:trPr/>
        <w:tc>
          <w:tcPr>
            <w:tcW w:w="155" w:type="dxa"/>
            <w:tcBorders/>
            <w:vAlign w:val="center"/>
          </w:tcPr>
          <w:p>
            <w:pPr>
              <w:pStyle w:val="TableContents"/>
              <w:bidi w:val="0"/>
              <w:spacing w:before="0" w:after="283"/>
              <w:jc w:val="left"/>
              <w:rPr>
                <w:b/>
              </w:rPr>
            </w:pPr>
            <w:r>
              <w:rPr>
                <w:b/>
              </w:rPr>
              <w:t>6</w:t>
            </w:r>
          </w:p>
        </w:tc>
        <w:tc>
          <w:tcPr>
            <w:tcW w:w="7835" w:type="dxa"/>
            <w:tcBorders/>
            <w:vAlign w:val="center"/>
          </w:tcPr>
          <w:p>
            <w:pPr>
              <w:pStyle w:val="TableContents"/>
              <w:bidi w:val="0"/>
              <w:spacing w:before="0" w:after="283"/>
              <w:jc w:val="both"/>
              <w:rPr>
                <w:b/>
              </w:rPr>
            </w:pPr>
            <w:r>
              <w:rPr>
                <w:b/>
              </w:rPr>
              <w:t>FINANCIAL ASSETS, AT FAIR VALUE THROUGH PROFIT OR LOSS</w:t>
            </w:r>
          </w:p>
        </w:tc>
      </w:tr>
    </w:tbl>
    <w:p>
      <w:pPr>
        <w:pStyle w:val="TextBody"/>
        <w:bidi w:val="0"/>
        <w:spacing w:before="0" w:after="0"/>
        <w:ind w:left="480" w:right="0" w:hanging="480"/>
        <w:jc w:val="both"/>
        <w:rPr>
          <w:caps w:val="false"/>
          <w:smallCaps w:val="false"/>
        </w:rPr>
      </w:pPr>
      <w:r>
        <w:rPr>
          <w:caps w:val="false"/>
          <w:smallCaps w:val="false"/>
        </w:rPr>
        <w:t> </w:t>
      </w:r>
    </w:p>
    <w:tbl>
      <w:tblPr>
        <w:tblW w:w="6793" w:type="dxa"/>
        <w:jc w:val="left"/>
        <w:tblInd w:w="0" w:type="dxa"/>
        <w:tblLayout w:type="fixed"/>
        <w:tblCellMar>
          <w:top w:w="0" w:type="dxa"/>
          <w:left w:w="0" w:type="dxa"/>
          <w:bottom w:w="0" w:type="dxa"/>
          <w:right w:w="0" w:type="dxa"/>
        </w:tblCellMar>
      </w:tblPr>
      <w:tblGrid>
        <w:gridCol w:w="4640"/>
        <w:gridCol w:w="60"/>
        <w:gridCol w:w="175"/>
        <w:gridCol w:w="774"/>
        <w:gridCol w:w="60"/>
        <w:gridCol w:w="60"/>
        <w:gridCol w:w="128"/>
        <w:gridCol w:w="821"/>
        <w:gridCol w:w="7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left"/>
              <w:rPr/>
            </w:pPr>
            <w:r>
              <w:rPr/>
              <w:t>Investment in life insurance policies, at fair value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double" w:sz="10" w:space="0" w:color="000000"/>
            </w:tcBorders>
            <w:shd w:fill="CCEEFF" w:val="clear"/>
            <w:tcMar>
              <w:bottom w:w="28" w:type="dxa"/>
            </w:tcM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104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 in the investment in life insurance policies is as follows:</w:t>
      </w:r>
    </w:p>
    <w:p>
      <w:pPr>
        <w:pStyle w:val="TextBody"/>
        <w:bidi w:val="0"/>
        <w:spacing w:before="0" w:after="0"/>
        <w:ind w:left="48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4145"/>
        <w:gridCol w:w="60"/>
        <w:gridCol w:w="175"/>
        <w:gridCol w:w="774"/>
        <w:gridCol w:w="95"/>
        <w:gridCol w:w="60"/>
        <w:gridCol w:w="128"/>
        <w:gridCol w:w="821"/>
        <w:gridCol w:w="75"/>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4145" w:type="dxa"/>
            <w:tcBorders/>
            <w:shd w:fill="CCEEFF" w:val="clear"/>
            <w:vAlign w:val="center"/>
          </w:tcPr>
          <w:p>
            <w:pPr>
              <w:pStyle w:val="TableContents"/>
              <w:bidi w:val="0"/>
              <w:spacing w:before="0" w:after="283"/>
              <w:jc w:val="left"/>
              <w:rPr/>
            </w:pPr>
            <w:r>
              <w:rPr/>
              <w:t>Balance brought forward</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145" w:type="dxa"/>
            <w:tcBorders/>
            <w:shd w:fill="FFFFFF" w:val="clear"/>
            <w:vAlign w:val="center"/>
          </w:tcPr>
          <w:p>
            <w:pPr>
              <w:pStyle w:val="TableContents"/>
              <w:bidi w:val="0"/>
              <w:spacing w:before="0" w:after="283"/>
              <w:jc w:val="left"/>
              <w:rPr/>
            </w:pPr>
            <w:r>
              <w:rPr/>
              <w:t>Fair value loss on financial assets (Note 25)</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145"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145" w:type="dxa"/>
            <w:tcBorders/>
            <w:shd w:fill="FFFFFF" w:val="clear"/>
            <w:vAlign w:val="center"/>
          </w:tcPr>
          <w:p>
            <w:pPr>
              <w:pStyle w:val="TableContents"/>
              <w:bidi w:val="0"/>
              <w:spacing w:before="0" w:after="283"/>
              <w:jc w:val="left"/>
              <w:rPr/>
            </w:pPr>
            <w:r>
              <w:rPr/>
              <w:t>Balance carried forward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pPr>
            <w:r>
              <w:rPr/>
              <w:t>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104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designated the investment in life insurance policy to be measured at FVTPL which is categorized as Level 2 in the fair value hierarchy.</w:t>
      </w:r>
    </w:p>
    <w:p>
      <w:pPr>
        <w:pStyle w:val="TextBody"/>
        <w:bidi w:val="0"/>
        <w:spacing w:before="0" w:after="0"/>
        <w:ind w:left="480" w:right="0" w:hanging="48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4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7</w:t>
            </w:r>
          </w:p>
        </w:tc>
        <w:tc>
          <w:tcPr>
            <w:tcW w:w="3590" w:type="dxa"/>
            <w:tcBorders/>
            <w:vAlign w:val="center"/>
          </w:tcPr>
          <w:p>
            <w:pPr>
              <w:pStyle w:val="TableContents"/>
              <w:bidi w:val="0"/>
              <w:spacing w:before="0" w:after="283"/>
              <w:jc w:val="both"/>
              <w:rPr>
                <w:b/>
              </w:rPr>
            </w:pPr>
            <w:r>
              <w:rPr>
                <w:b/>
              </w:rPr>
              <w:t>DEFERRED OFFERING COSTS</w:t>
            </w:r>
          </w:p>
        </w:tc>
      </w:tr>
    </w:tbl>
    <w:p>
      <w:pPr>
        <w:pStyle w:val="TextBody"/>
        <w:bidi w:val="0"/>
        <w:spacing w:before="0" w:after="0"/>
        <w:ind w:left="480" w:right="0" w:hanging="480"/>
        <w:jc w:val="both"/>
        <w:rPr>
          <w:caps w:val="false"/>
          <w:smallCaps w:val="false"/>
        </w:rPr>
      </w:pPr>
      <w:r>
        <w:rPr>
          <w:caps w:val="false"/>
          <w:smallCaps w:val="false"/>
        </w:rPr>
        <w:t> </w:t>
      </w:r>
    </w:p>
    <w:tbl>
      <w:tblPr>
        <w:tblW w:w="4363" w:type="dxa"/>
        <w:jc w:val="left"/>
        <w:tblInd w:w="0" w:type="dxa"/>
        <w:tblLayout w:type="fixed"/>
        <w:tblCellMar>
          <w:top w:w="0" w:type="dxa"/>
          <w:left w:w="0" w:type="dxa"/>
          <w:bottom w:w="0" w:type="dxa"/>
          <w:right w:w="0" w:type="dxa"/>
        </w:tblCellMar>
      </w:tblPr>
      <w:tblGrid>
        <w:gridCol w:w="2210"/>
        <w:gridCol w:w="60"/>
        <w:gridCol w:w="128"/>
        <w:gridCol w:w="821"/>
        <w:gridCol w:w="60"/>
        <w:gridCol w:w="60"/>
        <w:gridCol w:w="91"/>
        <w:gridCol w:w="858"/>
        <w:gridCol w:w="75"/>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b/>
              </w:rPr>
            </w:pPr>
            <w:r>
              <w:rPr>
                <w:b/>
              </w:rPr>
              <w:t>Non-current</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21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210" w:type="dxa"/>
            <w:tcBorders/>
            <w:shd w:fill="FFFFFF" w:val="clear"/>
            <w:vAlign w:val="center"/>
          </w:tcPr>
          <w:p>
            <w:pPr>
              <w:pStyle w:val="TableContents"/>
              <w:bidi w:val="0"/>
              <w:spacing w:before="0" w:after="283"/>
              <w:jc w:val="left"/>
              <w:rPr>
                <w:b/>
              </w:rPr>
            </w:pPr>
            <w:r>
              <w:rPr>
                <w:b/>
              </w:rPr>
              <w:t>Current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21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1,070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 means any fees, commissions, costs, expenses, concessions and other amounts payable to any party, including, without limitation, brokers, underwriters, advisors (accounting, financial, legal and otherwise) and any consultants, in connection with the Group’s initial public offering of Ordinary Shares (“Offering Shares”). Upon completion of the IPO, incremental costs directly attributable to the issuance of new ordinary shares are deducted against the share capital account.</w:t>
      </w:r>
    </w:p>
    <w:p>
      <w:pPr>
        <w:pStyle w:val="TextBody"/>
        <w:bidi w:val="0"/>
        <w:spacing w:before="0" w:after="0"/>
        <w:ind w:left="480" w:right="0" w:hanging="48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55"/>
        <w:gridCol w:w="2735"/>
      </w:tblGrid>
      <w:tr>
        <w:trPr/>
        <w:tc>
          <w:tcPr>
            <w:tcW w:w="155" w:type="dxa"/>
            <w:tcBorders/>
            <w:vAlign w:val="center"/>
          </w:tcPr>
          <w:p>
            <w:pPr>
              <w:pStyle w:val="TableContents"/>
              <w:bidi w:val="0"/>
              <w:spacing w:before="0" w:after="283"/>
              <w:jc w:val="left"/>
              <w:rPr>
                <w:b/>
              </w:rPr>
            </w:pPr>
            <w:r>
              <w:rPr>
                <w:b/>
              </w:rPr>
              <w:t>8</w:t>
            </w:r>
          </w:p>
        </w:tc>
        <w:tc>
          <w:tcPr>
            <w:tcW w:w="2735" w:type="dxa"/>
            <w:tcBorders/>
            <w:vAlign w:val="center"/>
          </w:tcPr>
          <w:p>
            <w:pPr>
              <w:pStyle w:val="TableContents"/>
              <w:bidi w:val="0"/>
              <w:spacing w:before="0" w:after="283"/>
              <w:jc w:val="both"/>
              <w:rPr>
                <w:b/>
              </w:rPr>
            </w:pPr>
            <w:r>
              <w:rPr>
                <w:b/>
              </w:rPr>
              <w:t>OTHER RECEIVABLES</w:t>
            </w:r>
          </w:p>
        </w:tc>
      </w:tr>
    </w:tbl>
    <w:p>
      <w:pPr>
        <w:pStyle w:val="TextBody"/>
        <w:bidi w:val="0"/>
        <w:spacing w:before="0" w:after="0"/>
        <w:ind w:left="480" w:right="0" w:hanging="480"/>
        <w:jc w:val="both"/>
        <w:rPr>
          <w:caps w:val="false"/>
          <w:smallCaps w:val="false"/>
        </w:rPr>
      </w:pPr>
      <w:r>
        <w:rPr>
          <w:caps w:val="false"/>
          <w:smallCaps w:val="false"/>
        </w:rPr>
        <w:t> </w:t>
      </w:r>
    </w:p>
    <w:tbl>
      <w:tblPr>
        <w:tblW w:w="4508" w:type="dxa"/>
        <w:jc w:val="left"/>
        <w:tblInd w:w="0" w:type="dxa"/>
        <w:tblLayout w:type="fixed"/>
        <w:tblCellMar>
          <w:top w:w="0" w:type="dxa"/>
          <w:left w:w="0" w:type="dxa"/>
          <w:bottom w:w="0" w:type="dxa"/>
          <w:right w:w="0" w:type="dxa"/>
        </w:tblCellMar>
      </w:tblPr>
      <w:tblGrid>
        <w:gridCol w:w="2285"/>
        <w:gridCol w:w="60"/>
        <w:gridCol w:w="128"/>
        <w:gridCol w:w="821"/>
        <w:gridCol w:w="95"/>
        <w:gridCol w:w="60"/>
        <w:gridCol w:w="128"/>
        <w:gridCol w:w="821"/>
        <w:gridCol w:w="110"/>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ind w:left="0" w:right="0" w:hanging="200"/>
              <w:jc w:val="left"/>
              <w:rPr/>
            </w:pPr>
            <w:r>
              <w:rPr/>
              <w:t> </w:t>
            </w:r>
          </w:p>
        </w:tc>
      </w:tr>
      <w:tr>
        <w:trPr/>
        <w:tc>
          <w:tcPr>
            <w:tcW w:w="2285" w:type="dxa"/>
            <w:tcBorders/>
            <w:vAlign w:val="center"/>
          </w:tcPr>
          <w:p>
            <w:pPr>
              <w:pStyle w:val="TableContents"/>
              <w:bidi w:val="0"/>
              <w:spacing w:before="0" w:after="283"/>
              <w:jc w:val="left"/>
              <w:rPr>
                <w:b/>
              </w:rPr>
            </w:pPr>
            <w:r>
              <w:rPr>
                <w:b/>
              </w:rPr>
              <w:t>Non-current</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22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pPr>
            <w:r>
              <w:rPr/>
              <w:t>Advance to suppliers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285" w:type="dxa"/>
            <w:tcBorders/>
            <w:shd w:fill="CCEEFF" w:val="clear"/>
            <w:vAlign w:val="center"/>
          </w:tcPr>
          <w:p>
            <w:pPr>
              <w:pStyle w:val="TableContents"/>
              <w:bidi w:val="0"/>
              <w:spacing w:before="0" w:after="283"/>
              <w:jc w:val="left"/>
              <w:rPr/>
            </w:pPr>
            <w:r>
              <w:rPr/>
              <w:t>Less: Impairment losses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b/>
              </w:rPr>
            </w:pPr>
            <w:r>
              <w:rPr>
                <w:b/>
              </w:rPr>
              <w:t>Current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2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pPr>
            <w:r>
              <w:rPr/>
              <w:t>Advance to suppliers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390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28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80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pPr>
            <w:r>
              <w:rPr/>
              <w:t>Prepayments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578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285" w:type="dxa"/>
            <w:tcBorders/>
            <w:shd w:fill="FFFFFF" w:val="clear"/>
            <w:vAlign w:val="center"/>
          </w:tcPr>
          <w:p>
            <w:pPr>
              <w:pStyle w:val="TableContents"/>
              <w:bidi w:val="0"/>
              <w:spacing w:before="0" w:after="283"/>
              <w:jc w:val="left"/>
              <w:rPr/>
            </w:pPr>
            <w:r>
              <w:rPr/>
              <w:t>Total other receivables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578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Other receivables and deposits are classified as financial assets and measured at amortized cost represent unsecured balances, which are non-interest bearing and repayable within the next twelve (12) months.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55"/>
        <w:gridCol w:w="3410"/>
      </w:tblGrid>
      <w:tr>
        <w:trPr/>
        <w:tc>
          <w:tcPr>
            <w:tcW w:w="155" w:type="dxa"/>
            <w:tcBorders/>
            <w:vAlign w:val="center"/>
          </w:tcPr>
          <w:p>
            <w:pPr>
              <w:pStyle w:val="TableContents"/>
              <w:bidi w:val="0"/>
              <w:spacing w:before="0" w:after="283"/>
              <w:jc w:val="left"/>
              <w:rPr>
                <w:b/>
              </w:rPr>
            </w:pPr>
            <w:r>
              <w:rPr>
                <w:b/>
              </w:rPr>
              <w:t>8</w:t>
            </w:r>
          </w:p>
        </w:tc>
        <w:tc>
          <w:tcPr>
            <w:tcW w:w="3410" w:type="dxa"/>
            <w:tcBorders/>
            <w:vAlign w:val="center"/>
          </w:tcPr>
          <w:p>
            <w:pPr>
              <w:pStyle w:val="TableContents"/>
              <w:bidi w:val="0"/>
              <w:spacing w:before="0" w:after="283"/>
              <w:jc w:val="both"/>
              <w:rPr/>
            </w:pPr>
            <w:r>
              <w:rPr>
                <w:b/>
              </w:rPr>
              <w:t>OTHER RECEIVABLES</w:t>
            </w:r>
            <w:r>
              <w:rPr/>
              <w:t xml:space="preserve"> (cont.)</w:t>
            </w:r>
          </w:p>
        </w:tc>
      </w:tr>
    </w:tbl>
    <w:p>
      <w:pPr>
        <w:pStyle w:val="TextBody"/>
        <w:bidi w:val="0"/>
        <w:spacing w:before="0" w:after="0"/>
        <w:ind w:left="960" w:right="0" w:hanging="48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29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305" w:type="dxa"/>
            <w:tcBorders/>
            <w:vAlign w:val="center"/>
          </w:tcPr>
          <w:p>
            <w:pPr>
              <w:pStyle w:val="TableContents"/>
              <w:bidi w:val="0"/>
              <w:spacing w:before="0" w:after="283"/>
              <w:jc w:val="both"/>
              <w:rPr/>
            </w:pPr>
            <w:r>
              <w:rPr/>
              <w:t>Movements in allowance for impairment accounts for non-current other receivables are as follows:</w:t>
            </w:r>
          </w:p>
        </w:tc>
      </w:tr>
    </w:tbl>
    <w:p>
      <w:pPr>
        <w:pStyle w:val="TextBody"/>
        <w:bidi w:val="0"/>
        <w:spacing w:before="0" w:after="0"/>
        <w:ind w:left="960" w:right="0" w:hanging="480"/>
        <w:jc w:val="both"/>
        <w:rPr>
          <w:caps w:val="false"/>
          <w:smallCaps w:val="false"/>
        </w:rPr>
      </w:pPr>
      <w:r>
        <w:rPr>
          <w:caps w:val="false"/>
          <w:smallCaps w:val="false"/>
        </w:rPr>
        <w:t> </w:t>
      </w:r>
    </w:p>
    <w:tbl>
      <w:tblPr>
        <w:tblW w:w="6383" w:type="dxa"/>
        <w:jc w:val="left"/>
        <w:tblInd w:w="0" w:type="dxa"/>
        <w:tblLayout w:type="fixed"/>
        <w:tblCellMar>
          <w:top w:w="0" w:type="dxa"/>
          <w:left w:w="0" w:type="dxa"/>
          <w:bottom w:w="0" w:type="dxa"/>
          <w:right w:w="0" w:type="dxa"/>
        </w:tblCellMar>
      </w:tblPr>
      <w:tblGrid>
        <w:gridCol w:w="3725"/>
        <w:gridCol w:w="60"/>
        <w:gridCol w:w="234"/>
        <w:gridCol w:w="1015"/>
        <w:gridCol w:w="95"/>
        <w:gridCol w:w="60"/>
        <w:gridCol w:w="203"/>
        <w:gridCol w:w="881"/>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Lifetime </w:t>
              <w:br/>
              <w:t xml:space="preserve">ECL-credit </w:t>
              <w:br/>
              <w:t xml:space="preserve">impaired </w:t>
              <w:b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 xml:space="preserve">allowance </w:t>
              <w:br/>
              <w:t>USD’000</w:t>
            </w:r>
          </w:p>
        </w:tc>
        <w:tc>
          <w:tcPr>
            <w:tcW w:w="110" w:type="dxa"/>
            <w:tcBorders/>
            <w:vAlign w:val="center"/>
          </w:tcPr>
          <w:p>
            <w:pPr>
              <w:pStyle w:val="TableContents"/>
              <w:bidi w:val="0"/>
              <w:spacing w:before="0" w:after="283"/>
              <w:ind w:left="0" w:right="0" w:hanging="200"/>
              <w:jc w:val="left"/>
              <w:rPr/>
            </w:pPr>
            <w:r>
              <w:rPr/>
              <w:t> </w:t>
            </w:r>
          </w:p>
        </w:tc>
      </w:tr>
      <w:tr>
        <w:trPr/>
        <w:tc>
          <w:tcPr>
            <w:tcW w:w="3725" w:type="dxa"/>
            <w:tcBorders/>
            <w:shd w:fill="CCEEFF" w:val="clear"/>
            <w:vAlign w:val="center"/>
          </w:tcPr>
          <w:p>
            <w:pPr>
              <w:pStyle w:val="TableContents"/>
              <w:bidi w:val="0"/>
              <w:spacing w:before="0" w:after="283"/>
              <w:jc w:val="left"/>
              <w:rPr/>
            </w:pPr>
            <w:r>
              <w:rPr/>
              <w:t>As at June 30, 2023 and June 30, 2024</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25" w:type="dxa"/>
            <w:tcBorders/>
            <w:shd w:fill="FFFFFF" w:val="clear"/>
            <w:vAlign w:val="center"/>
          </w:tcPr>
          <w:p>
            <w:pPr>
              <w:pStyle w:val="TableContents"/>
              <w:bidi w:val="0"/>
              <w:spacing w:before="0" w:after="283"/>
              <w:jc w:val="left"/>
              <w:rPr/>
            </w:pPr>
            <w:r>
              <w:rPr/>
              <w:t>Reversal of impairment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725" w:type="dxa"/>
            <w:tcBorders/>
            <w:shd w:fill="CCEEFF" w:val="clear"/>
            <w:vAlign w:val="center"/>
          </w:tcPr>
          <w:p>
            <w:pPr>
              <w:pStyle w:val="TableContents"/>
              <w:bidi w:val="0"/>
              <w:spacing w:before="0" w:after="283"/>
              <w:jc w:val="left"/>
              <w:rPr/>
            </w:pPr>
            <w:r>
              <w:rPr/>
              <w:t>Written off</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725"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25" w:type="dxa"/>
            <w:tcBorders/>
            <w:shd w:fill="CCEEFF" w:val="clear"/>
            <w:vAlign w:val="center"/>
          </w:tcPr>
          <w:p>
            <w:pPr>
              <w:pStyle w:val="TableContents"/>
              <w:bidi w:val="0"/>
              <w:spacing w:before="0" w:after="283"/>
              <w:jc w:val="left"/>
              <w:rPr/>
            </w:pPr>
            <w:r>
              <w:rPr/>
              <w:t>As at June 30, 2025</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double" w:sz="10" w:space="0" w:color="000000"/>
            </w:tcBorders>
            <w:shd w:fill="CCEEFF" w:val="clear"/>
            <w:tcMar>
              <w:bottom w:w="28" w:type="dxa"/>
            </w:tcM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impaired refers to individually determined debtors who are in significant financial difficulties as at the end of the reporting period.</w:t>
      </w:r>
    </w:p>
    <w:p>
      <w:pPr>
        <w:pStyle w:val="TextBody"/>
        <w:bidi w:val="0"/>
        <w:spacing w:before="0" w:after="0"/>
        <w:ind w:left="480" w:right="0" w:hanging="48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155"/>
        <w:gridCol w:w="1745"/>
      </w:tblGrid>
      <w:tr>
        <w:trPr/>
        <w:tc>
          <w:tcPr>
            <w:tcW w:w="155" w:type="dxa"/>
            <w:tcBorders/>
            <w:vAlign w:val="center"/>
          </w:tcPr>
          <w:p>
            <w:pPr>
              <w:pStyle w:val="TableContents"/>
              <w:bidi w:val="0"/>
              <w:spacing w:before="0" w:after="283"/>
              <w:jc w:val="left"/>
              <w:rPr>
                <w:b/>
              </w:rPr>
            </w:pPr>
            <w:r>
              <w:rPr>
                <w:b/>
              </w:rPr>
              <w:t>9</w:t>
            </w:r>
          </w:p>
        </w:tc>
        <w:tc>
          <w:tcPr>
            <w:tcW w:w="1745" w:type="dxa"/>
            <w:tcBorders/>
            <w:vAlign w:val="center"/>
          </w:tcPr>
          <w:p>
            <w:pPr>
              <w:pStyle w:val="TableContents"/>
              <w:bidi w:val="0"/>
              <w:spacing w:before="0" w:after="283"/>
              <w:jc w:val="both"/>
              <w:rPr>
                <w:b/>
              </w:rPr>
            </w:pPr>
            <w:r>
              <w:rPr>
                <w:b/>
              </w:rPr>
              <w:t>INVENTORIES</w:t>
            </w:r>
          </w:p>
        </w:tc>
      </w:tr>
    </w:tbl>
    <w:p>
      <w:pPr>
        <w:pStyle w:val="TextBody"/>
        <w:bidi w:val="0"/>
        <w:spacing w:before="0" w:after="0"/>
        <w:ind w:left="480" w:right="0" w:hanging="480"/>
        <w:jc w:val="both"/>
        <w:rPr>
          <w:caps w:val="false"/>
          <w:smallCaps w:val="false"/>
        </w:rPr>
      </w:pPr>
      <w:r>
        <w:rPr>
          <w:caps w:val="false"/>
          <w:smallCaps w:val="false"/>
        </w:rPr>
        <w:t> </w:t>
      </w:r>
    </w:p>
    <w:tbl>
      <w:tblPr>
        <w:tblW w:w="9053" w:type="dxa"/>
        <w:jc w:val="left"/>
        <w:tblInd w:w="0" w:type="dxa"/>
        <w:tblLayout w:type="fixed"/>
        <w:tblCellMar>
          <w:top w:w="0" w:type="dxa"/>
          <w:left w:w="0" w:type="dxa"/>
          <w:bottom w:w="0" w:type="dxa"/>
          <w:right w:w="0" w:type="dxa"/>
        </w:tblCellMar>
      </w:tblPr>
      <w:tblGrid>
        <w:gridCol w:w="6830"/>
        <w:gridCol w:w="60"/>
        <w:gridCol w:w="82"/>
        <w:gridCol w:w="867"/>
        <w:gridCol w:w="95"/>
        <w:gridCol w:w="60"/>
        <w:gridCol w:w="77"/>
        <w:gridCol w:w="872"/>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ind w:left="0" w:right="0" w:hanging="200"/>
              <w:jc w:val="left"/>
              <w:rPr/>
            </w:pPr>
            <w:r>
              <w:rPr/>
              <w:t> </w:t>
            </w:r>
          </w:p>
        </w:tc>
      </w:tr>
      <w:tr>
        <w:trPr/>
        <w:tc>
          <w:tcPr>
            <w:tcW w:w="6830" w:type="dxa"/>
            <w:tcBorders/>
            <w:vAlign w:val="center"/>
          </w:tcPr>
          <w:p>
            <w:pPr>
              <w:pStyle w:val="TableContents"/>
              <w:bidi w:val="0"/>
              <w:spacing w:before="0" w:after="283"/>
              <w:jc w:val="left"/>
              <w:rPr>
                <w:b/>
              </w:rPr>
            </w:pPr>
            <w:r>
              <w:rPr>
                <w:b/>
              </w:rPr>
              <w:t>At cost</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pPr>
            <w:r>
              <w:rPr/>
              <w:t>Raw materials and consumables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1,955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830" w:type="dxa"/>
            <w:tcBorders/>
            <w:shd w:fill="FFFFFF" w:val="clear"/>
            <w:vAlign w:val="center"/>
          </w:tcPr>
          <w:p>
            <w:pPr>
              <w:pStyle w:val="TableContents"/>
              <w:bidi w:val="0"/>
              <w:spacing w:before="0" w:after="283"/>
              <w:jc w:val="left"/>
              <w:rPr/>
            </w:pPr>
            <w:r>
              <w:rPr/>
              <w:t>Work-in-progress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384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6,523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7,971</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pPr>
            <w:r>
              <w:rPr/>
              <w:t>8,700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10,310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b/>
              </w:rPr>
            </w:pPr>
            <w:r>
              <w:rPr>
                <w:b/>
              </w:rPr>
              <w:t>Less: Allowance for stock obsolescence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830" w:type="dxa"/>
            <w:tcBorders/>
            <w:shd w:fill="FFFFFF" w:val="clear"/>
            <w:vAlign w:val="center"/>
          </w:tcPr>
          <w:p>
            <w:pPr>
              <w:pStyle w:val="TableContents"/>
              <w:bidi w:val="0"/>
              <w:spacing w:before="0" w:after="283"/>
              <w:jc w:val="left"/>
              <w:rPr/>
            </w:pPr>
            <w:r>
              <w:rPr/>
              <w:t>Raw materials and consumables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(71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830" w:type="dxa"/>
            <w:tcBorders/>
            <w:shd w:fill="CCEEFF" w:val="clear"/>
            <w:vAlign w:val="center"/>
          </w:tcPr>
          <w:p>
            <w:pPr>
              <w:pStyle w:val="TableContents"/>
              <w:bidi w:val="0"/>
              <w:spacing w:before="0" w:after="283"/>
              <w:jc w:val="left"/>
              <w:rPr/>
            </w:pPr>
            <w:r>
              <w:rPr/>
              <w:t>Work-in-progress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83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pPr>
            <w:r>
              <w:rPr/>
              <w:t>(1,882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(1,638</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(1,938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(1,719</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b/>
              </w:rPr>
            </w:pPr>
            <w:r>
              <w:rPr>
                <w:b/>
              </w:rPr>
              <w:t>At cost and net realizable value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830" w:type="dxa"/>
            <w:tcBorders/>
            <w:shd w:fill="FFFFFF" w:val="clear"/>
            <w:vAlign w:val="center"/>
          </w:tcPr>
          <w:p>
            <w:pPr>
              <w:pStyle w:val="TableContents"/>
              <w:bidi w:val="0"/>
              <w:spacing w:before="0" w:after="283"/>
              <w:jc w:val="left"/>
              <w:rPr/>
            </w:pPr>
            <w:r>
              <w:rPr/>
              <w:t>Raw materials and consumables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1,949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1,884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pPr>
            <w:r>
              <w:rPr/>
              <w:t>Work-in-progress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374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83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pPr>
            <w:r>
              <w:rPr/>
              <w:t>4,641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6,333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6,762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8,591</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pPr>
            <w:r>
              <w:rPr/>
              <w:t>The movement in allowance for inventory obsolescence was as follows: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830" w:type="dxa"/>
            <w:tcBorders/>
            <w:shd w:fill="FFFFFF" w:val="clear"/>
            <w:vAlign w:val="center"/>
          </w:tcPr>
          <w:p>
            <w:pPr>
              <w:pStyle w:val="TableContents"/>
              <w:bidi w:val="0"/>
              <w:spacing w:before="0" w:after="283"/>
              <w:jc w:val="left"/>
              <w:rPr/>
            </w:pPr>
            <w:r>
              <w:rPr/>
              <w:t>At the beginning of year</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1,978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1,938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pPr>
            <w:r>
              <w:rPr/>
              <w:t>Allowance for inventory obsolescence, net (Note 23)</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830"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79</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830" w:type="dxa"/>
            <w:tcBorders/>
            <w:shd w:fill="CCEEFF" w:val="clear"/>
            <w:vAlign w:val="center"/>
          </w:tcPr>
          <w:p>
            <w:pPr>
              <w:pStyle w:val="TableContents"/>
              <w:bidi w:val="0"/>
              <w:spacing w:before="0" w:after="283"/>
              <w:jc w:val="left"/>
              <w:rPr/>
            </w:pPr>
            <w:r>
              <w:rPr/>
              <w:t>At the end of year</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double" w:sz="10" w:space="0" w:color="000000"/>
            </w:tcBorders>
            <w:shd w:fill="CCEEFF" w:val="clear"/>
            <w:tcMar>
              <w:bottom w:w="28" w:type="dxa"/>
            </w:tcMar>
            <w:vAlign w:val="center"/>
          </w:tcPr>
          <w:p>
            <w:pPr>
              <w:pStyle w:val="TableContents"/>
              <w:bidi w:val="0"/>
              <w:spacing w:before="0" w:after="283"/>
              <w:jc w:val="right"/>
              <w:rPr/>
            </w:pPr>
            <w:r>
              <w:rPr/>
              <w:t>1,938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double" w:sz="10" w:space="0" w:color="000000"/>
            </w:tcBorders>
            <w:shd w:fill="CCEEFF" w:val="clear"/>
            <w:tcMar>
              <w:bottom w:w="28" w:type="dxa"/>
            </w:tcMar>
            <w:vAlign w:val="center"/>
          </w:tcPr>
          <w:p>
            <w:pPr>
              <w:pStyle w:val="TableContents"/>
              <w:bidi w:val="0"/>
              <w:spacing w:before="0" w:after="283"/>
              <w:jc w:val="right"/>
              <w:rPr/>
            </w:pPr>
            <w:r>
              <w:rPr/>
              <w:t>1,719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inventories recognized as expenses in cost of goods sold of the Group was USD6,841,000 (2024: USD8,965,000).</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carried out a review of the realizable value of its inventories and the review led to a net reversal of allowance for inventories obsolescence of USD298,000 (2024: net additional provision of allowance of USD86,000) was recognized in profit or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75"/>
        <w:gridCol w:w="2735"/>
      </w:tblGrid>
      <w:tr>
        <w:trPr/>
        <w:tc>
          <w:tcPr>
            <w:tcW w:w="275" w:type="dxa"/>
            <w:tcBorders/>
            <w:vAlign w:val="center"/>
          </w:tcPr>
          <w:p>
            <w:pPr>
              <w:pStyle w:val="TableContents"/>
              <w:bidi w:val="0"/>
              <w:spacing w:before="0" w:after="283"/>
              <w:jc w:val="left"/>
              <w:rPr>
                <w:b/>
              </w:rPr>
            </w:pPr>
            <w:r>
              <w:rPr>
                <w:b/>
              </w:rPr>
              <w:t>10</w:t>
            </w:r>
          </w:p>
        </w:tc>
        <w:tc>
          <w:tcPr>
            <w:tcW w:w="2735" w:type="dxa"/>
            <w:tcBorders/>
            <w:vAlign w:val="center"/>
          </w:tcPr>
          <w:p>
            <w:pPr>
              <w:pStyle w:val="TableContents"/>
              <w:bidi w:val="0"/>
              <w:spacing w:before="0" w:after="283"/>
              <w:jc w:val="both"/>
              <w:rPr>
                <w:b/>
              </w:rPr>
            </w:pPr>
            <w:r>
              <w:rPr>
                <w:b/>
              </w:rPr>
              <w:t>TRADE RECEIVABLES</w:t>
            </w:r>
          </w:p>
        </w:tc>
      </w:tr>
    </w:tbl>
    <w:p>
      <w:pPr>
        <w:pStyle w:val="TextBody"/>
        <w:bidi w:val="0"/>
        <w:spacing w:before="0" w:after="0"/>
        <w:ind w:left="480" w:right="0" w:hanging="480"/>
        <w:jc w:val="both"/>
        <w:rPr>
          <w:caps w:val="false"/>
          <w:smallCaps w:val="false"/>
        </w:rPr>
      </w:pPr>
      <w:r>
        <w:rPr>
          <w:caps w:val="false"/>
          <w:smallCaps w:val="false"/>
        </w:rPr>
        <w:t> </w:t>
      </w:r>
    </w:p>
    <w:tbl>
      <w:tblPr>
        <w:tblW w:w="5273" w:type="dxa"/>
        <w:jc w:val="left"/>
        <w:tblInd w:w="0" w:type="dxa"/>
        <w:tblLayout w:type="fixed"/>
        <w:tblCellMar>
          <w:top w:w="0" w:type="dxa"/>
          <w:left w:w="0" w:type="dxa"/>
          <w:bottom w:w="0" w:type="dxa"/>
          <w:right w:w="0" w:type="dxa"/>
        </w:tblCellMar>
      </w:tblPr>
      <w:tblGrid>
        <w:gridCol w:w="3050"/>
        <w:gridCol w:w="60"/>
        <w:gridCol w:w="91"/>
        <w:gridCol w:w="858"/>
        <w:gridCol w:w="95"/>
        <w:gridCol w:w="60"/>
        <w:gridCol w:w="91"/>
        <w:gridCol w:w="858"/>
        <w:gridCol w:w="110"/>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ind w:left="0" w:right="0" w:hanging="200"/>
              <w:jc w:val="left"/>
              <w:rPr/>
            </w:pPr>
            <w:r>
              <w:rPr/>
              <w:t> </w:t>
            </w:r>
          </w:p>
        </w:tc>
      </w:tr>
      <w:tr>
        <w:trPr/>
        <w:tc>
          <w:tcPr>
            <w:tcW w:w="3050" w:type="dxa"/>
            <w:tcBorders/>
            <w:shd w:fill="CCEEFF" w:val="clear"/>
            <w:vAlign w:val="center"/>
          </w:tcPr>
          <w:p>
            <w:pPr>
              <w:pStyle w:val="TableContents"/>
              <w:bidi w:val="0"/>
              <w:spacing w:before="0" w:after="283"/>
              <w:jc w:val="left"/>
              <w:rPr/>
            </w:pPr>
            <w:r>
              <w:rPr/>
              <w:t>Trade receivables – third parties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3,886</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050" w:type="dxa"/>
            <w:tcBorders/>
            <w:shd w:fill="FFFFFF" w:val="clear"/>
            <w:vAlign w:val="center"/>
          </w:tcPr>
          <w:p>
            <w:pPr>
              <w:pStyle w:val="TableContents"/>
              <w:bidi w:val="0"/>
              <w:spacing w:before="0" w:after="283"/>
              <w:jc w:val="left"/>
              <w:rPr/>
            </w:pPr>
            <w:r>
              <w:rPr/>
              <w:t>Less: Impairment losses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(636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(696</w:t>
            </w:r>
          </w:p>
        </w:tc>
        <w:tc>
          <w:tcPr>
            <w:tcW w:w="110"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3,190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75"/>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775" w:type="dxa"/>
            <w:tcBorders/>
            <w:vAlign w:val="center"/>
          </w:tcPr>
          <w:p>
            <w:pPr>
              <w:pStyle w:val="TableContents"/>
              <w:bidi w:val="0"/>
              <w:spacing w:before="0" w:after="283"/>
              <w:jc w:val="both"/>
              <w:rPr/>
            </w:pPr>
            <w:r>
              <w:rPr/>
              <w:t>Trade receivables are classified as financial assets and measured at amortized cost.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Trade receivables are unsecured, non-interest bearing and are generally on 30 to 60 days (2024: 30 to 60 days) credit terms.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(c)</w:t>
            </w:r>
          </w:p>
        </w:tc>
        <w:tc>
          <w:tcPr>
            <w:tcW w:w="9903" w:type="dxa"/>
            <w:tcBorders/>
            <w:vAlign w:val="center"/>
          </w:tcPr>
          <w:p>
            <w:pPr>
              <w:pStyle w:val="TableContents"/>
              <w:bidi w:val="0"/>
              <w:spacing w:before="0" w:after="283"/>
              <w:jc w:val="both"/>
              <w:rPr/>
            </w:pPr>
            <w:r>
              <w:rPr/>
              <w:t>Impairment for trade receivables is recognized based on the simplified approach using the lifetime expected credit losses.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Lifetime expected credit losses are the expected credit losses that result from all possible default events over the expected life of the asset. The maximum period considered when estimating expected credit losses is the maximum contractual period over which the Group is exposed to credit risk.</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historical credit loss experience and observable data such as current changes and future forecasts in economic conditions to estimate the amount of expected impairment loss. The methodology and assumptions including any forecasts of future economic conditions are reviewed regularly.</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this process, the probability of non-payment by the trade receivables is adjusted by forward looking information and multiplied by the amount of the expected loss arising from default to determine the lifetime expected credit loss for the trade receivables. For trade receivables, which are reported net, such impairments are recorded in a separate impairment account with the loss being recognized within administrative expenses in the statements of profit or loss and other comprehensive income. On confirmation that the trade receivable would not be collectable, the gross carrying value of the asset would be written off against the associated impairment.</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assessment of impairment of trade receivables are separately assessed when it is probable that cash due will not be received in full.</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judgement is required in determining the probability of default by trade receivables and appropriate forward-looking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6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10</w:t>
            </w:r>
          </w:p>
        </w:tc>
        <w:tc>
          <w:tcPr>
            <w:tcW w:w="3410" w:type="dxa"/>
            <w:tcBorders/>
            <w:vAlign w:val="center"/>
          </w:tcPr>
          <w:p>
            <w:pPr>
              <w:pStyle w:val="TableContents"/>
              <w:bidi w:val="0"/>
              <w:spacing w:before="0" w:after="283"/>
              <w:jc w:val="both"/>
              <w:rPr/>
            </w:pPr>
            <w:r>
              <w:rPr>
                <w:b/>
              </w:rPr>
              <w:t>TRADE RECEIVABLES</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ageing analysis of the Group’s trade receivables are as follows:</w:t>
      </w:r>
    </w:p>
    <w:p>
      <w:pPr>
        <w:pStyle w:val="TextBody"/>
        <w:bidi w:val="0"/>
        <w:spacing w:before="0" w:after="0"/>
        <w:ind w:left="960" w:right="0" w:hanging="0"/>
        <w:jc w:val="both"/>
        <w:rPr>
          <w:caps w:val="false"/>
          <w:smallCaps w:val="false"/>
        </w:rPr>
      </w:pPr>
      <w:r>
        <w:rPr>
          <w:caps w:val="false"/>
          <w:smallCaps w:val="false"/>
        </w:rPr>
        <w:t> </w:t>
      </w:r>
    </w:p>
    <w:tbl>
      <w:tblPr>
        <w:tblW w:w="6952" w:type="dxa"/>
        <w:jc w:val="left"/>
        <w:tblInd w:w="0" w:type="dxa"/>
        <w:tblLayout w:type="fixed"/>
        <w:tblCellMar>
          <w:top w:w="0" w:type="dxa"/>
          <w:left w:w="0" w:type="dxa"/>
          <w:bottom w:w="0" w:type="dxa"/>
          <w:right w:w="0" w:type="dxa"/>
        </w:tblCellMar>
      </w:tblPr>
      <w:tblGrid>
        <w:gridCol w:w="2060"/>
        <w:gridCol w:w="60"/>
        <w:gridCol w:w="154"/>
        <w:gridCol w:w="1440"/>
        <w:gridCol w:w="60"/>
        <w:gridCol w:w="60"/>
        <w:gridCol w:w="186"/>
        <w:gridCol w:w="1423"/>
        <w:gridCol w:w="95"/>
        <w:gridCol w:w="60"/>
        <w:gridCol w:w="123"/>
        <w:gridCol w:w="1156"/>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carrying </w:t>
              <w:br/>
              <w:t xml:space="preserve">amount </w:t>
              <w:b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Loss allowance </w:t>
              <w:b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Net balance </w:t>
              <w:br/>
              <w:t>USD’000</w:t>
            </w:r>
          </w:p>
        </w:tc>
        <w:tc>
          <w:tcPr>
            <w:tcW w:w="75" w:type="dxa"/>
            <w:tcBorders/>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1,405</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Past due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1 to 30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31 to 60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124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61 to 90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63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91 to 120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84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121 to 150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151 to 180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181 to 210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211 to 240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241 to 270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66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271 to 300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More than 300 days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3"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280</w:t>
            </w:r>
          </w:p>
        </w:tc>
        <w:tc>
          <w:tcPr>
            <w:tcW w:w="7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841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b/>
              </w:rPr>
            </w:pPr>
            <w:r>
              <w:rPr>
                <w:b/>
              </w:rPr>
              <w:t>Credit impaired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Individually impaired</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3"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double" w:sz="10" w:space="0" w:color="000000"/>
            </w:tcBorders>
            <w:shd w:fill="FFFFFF" w:val="clear"/>
            <w:tcMar>
              <w:bottom w:w="28" w:type="dxa"/>
            </w:tcMar>
            <w:vAlign w:val="center"/>
          </w:tcPr>
          <w:p>
            <w:pPr>
              <w:pStyle w:val="TableContents"/>
              <w:bidi w:val="0"/>
              <w:spacing w:before="0" w:after="283"/>
              <w:jc w:val="right"/>
              <w:rPr/>
            </w:pPr>
            <w:r>
              <w:rPr/>
              <w:t>2,882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23" w:type="dxa"/>
            <w:tcBorders>
              <w:bottom w:val="double" w:sz="10" w:space="0" w:color="000000"/>
            </w:tcBorders>
            <w:shd w:fill="FFFFFF" w:val="clear"/>
            <w:tcMar>
              <w:bottom w:w="28" w:type="dxa"/>
            </w:tcMar>
            <w:vAlign w:val="center"/>
          </w:tcPr>
          <w:p>
            <w:pPr>
              <w:pStyle w:val="TableContents"/>
              <w:bidi w:val="0"/>
              <w:spacing w:before="0" w:after="283"/>
              <w:jc w:val="right"/>
              <w:rPr/>
            </w:pPr>
            <w:r>
              <w:rPr/>
              <w:t>(636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pPr>
            <w:r>
              <w:rPr/>
              <w:t>2,246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52" w:type="dxa"/>
        <w:jc w:val="left"/>
        <w:tblInd w:w="0" w:type="dxa"/>
        <w:tblLayout w:type="fixed"/>
        <w:tblCellMar>
          <w:top w:w="0" w:type="dxa"/>
          <w:left w:w="0" w:type="dxa"/>
          <w:bottom w:w="0" w:type="dxa"/>
          <w:right w:w="0" w:type="dxa"/>
        </w:tblCellMar>
      </w:tblPr>
      <w:tblGrid>
        <w:gridCol w:w="2060"/>
        <w:gridCol w:w="60"/>
        <w:gridCol w:w="154"/>
        <w:gridCol w:w="1440"/>
        <w:gridCol w:w="60"/>
        <w:gridCol w:w="60"/>
        <w:gridCol w:w="186"/>
        <w:gridCol w:w="1423"/>
        <w:gridCol w:w="95"/>
        <w:gridCol w:w="60"/>
        <w:gridCol w:w="123"/>
        <w:gridCol w:w="1156"/>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carrying </w:t>
              <w:br/>
              <w:t xml:space="preserve">amount </w:t>
              <w:b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Loss allowance </w:t>
              <w:b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Net balance </w:t>
              <w:br/>
              <w:t>USD’000</w:t>
            </w:r>
          </w:p>
        </w:tc>
        <w:tc>
          <w:tcPr>
            <w:tcW w:w="75" w:type="dxa"/>
            <w:tcBorders/>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870</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Past due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1 to 30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528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31 to 60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441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61 to 90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360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344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91 to 120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121 to 150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151 to 180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181 to 210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211 to 240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 xml:space="preserve">– </w:t>
            </w:r>
            <w:r>
              <w:rPr/>
              <w:t>241 to 270 days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306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 xml:space="preserve">– </w:t>
            </w:r>
            <w:r>
              <w:rPr/>
              <w:t>271 to 280 days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More than 300 days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12" w:space="0" w:color="000000"/>
            </w:tcBorders>
            <w:shd w:fill="FFFFFF" w:val="clear"/>
            <w:tcMar>
              <w:bottom w:w="28" w:type="dxa"/>
            </w:tcMar>
            <w:vAlign w:val="center"/>
          </w:tcPr>
          <w:p>
            <w:pPr>
              <w:pStyle w:val="TableContents"/>
              <w:bidi w:val="0"/>
              <w:spacing w:before="0" w:after="283"/>
              <w:jc w:val="right"/>
              <w:rPr/>
            </w:pPr>
            <w:r>
              <w:rPr/>
              <w:t>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FFFFFF" w:val="clear"/>
            <w:tcMar>
              <w:bottom w:w="28" w:type="dxa"/>
            </w:tcMar>
            <w:vAlign w:val="center"/>
          </w:tcPr>
          <w:p>
            <w:pPr>
              <w:pStyle w:val="TableContents"/>
              <w:bidi w:val="0"/>
              <w:spacing w:before="0" w:after="283"/>
              <w:jc w:val="right"/>
              <w:rPr/>
            </w:pPr>
            <w:r>
              <w:rPr/>
              <w:t>238</w:t>
            </w:r>
          </w:p>
        </w:tc>
        <w:tc>
          <w:tcPr>
            <w:tcW w:w="7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2,454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2,320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b/>
              </w:rPr>
            </w:pPr>
            <w:r>
              <w:rPr>
                <w:b/>
              </w:rPr>
              <w:t>Credit impaired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Individually impaired</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12" w:space="0" w:color="000000"/>
            </w:tcBorders>
            <w:shd w:fill="CCEEFF" w:val="clear"/>
            <w:tcMar>
              <w:bottom w:w="28" w:type="dxa"/>
            </w:tcM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3" w:type="dxa"/>
            <w:tcBorders>
              <w:bottom w:val="single" w:sz="12" w:space="0" w:color="000000"/>
            </w:tcBorders>
            <w:shd w:fill="CCEEFF" w:val="clear"/>
            <w:tcMar>
              <w:bottom w:w="28" w:type="dxa"/>
            </w:tcMar>
            <w:vAlign w:val="center"/>
          </w:tcPr>
          <w:p>
            <w:pPr>
              <w:pStyle w:val="TableContents"/>
              <w:bidi w:val="0"/>
              <w:spacing w:before="0" w:after="283"/>
              <w:jc w:val="right"/>
              <w:rPr/>
            </w:pPr>
            <w:r>
              <w:rPr/>
              <w:t>(505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double" w:sz="10" w:space="0" w:color="000000"/>
            </w:tcBorders>
            <w:shd w:fill="FFFFFF" w:val="clear"/>
            <w:tcMar>
              <w:bottom w:w="28" w:type="dxa"/>
            </w:tcMar>
            <w:vAlign w:val="center"/>
          </w:tcPr>
          <w:p>
            <w:pPr>
              <w:pStyle w:val="TableContents"/>
              <w:bidi w:val="0"/>
              <w:spacing w:before="0" w:after="283"/>
              <w:jc w:val="right"/>
              <w:rPr/>
            </w:pPr>
            <w:r>
              <w:rPr/>
              <w:t>3,886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23" w:type="dxa"/>
            <w:tcBorders>
              <w:bottom w:val="double" w:sz="10"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double" w:sz="10" w:space="0" w:color="000000"/>
            </w:tcBorders>
            <w:shd w:fill="FFFFFF" w:val="clear"/>
            <w:tcMar>
              <w:bottom w:w="28" w:type="dxa"/>
            </w:tcMar>
            <w:vAlign w:val="center"/>
          </w:tcPr>
          <w:p>
            <w:pPr>
              <w:pStyle w:val="TableContents"/>
              <w:bidi w:val="0"/>
              <w:spacing w:before="0" w:after="283"/>
              <w:jc w:val="right"/>
              <w:rPr/>
            </w:pPr>
            <w:r>
              <w:rPr/>
              <w:t>3,190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275"/>
        <w:gridCol w:w="3410"/>
      </w:tblGrid>
      <w:tr>
        <w:trPr/>
        <w:tc>
          <w:tcPr>
            <w:tcW w:w="275" w:type="dxa"/>
            <w:tcBorders/>
            <w:vAlign w:val="center"/>
          </w:tcPr>
          <w:p>
            <w:pPr>
              <w:pStyle w:val="TableContents"/>
              <w:bidi w:val="0"/>
              <w:spacing w:before="0" w:after="283"/>
              <w:jc w:val="left"/>
              <w:rPr>
                <w:b/>
              </w:rPr>
            </w:pPr>
            <w:r>
              <w:rPr>
                <w:b/>
              </w:rPr>
              <w:t>10</w:t>
            </w:r>
          </w:p>
        </w:tc>
        <w:tc>
          <w:tcPr>
            <w:tcW w:w="3410" w:type="dxa"/>
            <w:tcBorders/>
            <w:vAlign w:val="center"/>
          </w:tcPr>
          <w:p>
            <w:pPr>
              <w:pStyle w:val="TableContents"/>
              <w:bidi w:val="0"/>
              <w:spacing w:before="0" w:after="283"/>
              <w:jc w:val="both"/>
              <w:rPr/>
            </w:pPr>
            <w:r>
              <w:rPr>
                <w:b/>
              </w:rPr>
              <w:t>TRADE RECEIVABLES</w:t>
            </w:r>
            <w:r>
              <w:rPr/>
              <w:t xml:space="preserve"> (cont.)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Movements in allowance for impairment accounts for trade receivables are as follows:</w:t>
      </w:r>
    </w:p>
    <w:p>
      <w:pPr>
        <w:pStyle w:val="TextBody"/>
        <w:bidi w:val="0"/>
        <w:spacing w:before="0" w:after="0"/>
        <w:ind w:left="960" w:right="0" w:hanging="480"/>
        <w:jc w:val="both"/>
        <w:rPr>
          <w:caps w:val="false"/>
          <w:smallCaps w:val="false"/>
        </w:rPr>
      </w:pPr>
      <w:r>
        <w:rPr>
          <w:caps w:val="false"/>
          <w:smallCaps w:val="false"/>
        </w:rPr>
        <w:t> </w:t>
      </w:r>
    </w:p>
    <w:tbl>
      <w:tblPr>
        <w:tblW w:w="8672" w:type="dxa"/>
        <w:jc w:val="left"/>
        <w:tblInd w:w="0" w:type="dxa"/>
        <w:tblLayout w:type="fixed"/>
        <w:tblCellMar>
          <w:top w:w="0" w:type="dxa"/>
          <w:left w:w="0" w:type="dxa"/>
          <w:bottom w:w="0" w:type="dxa"/>
          <w:right w:w="0" w:type="dxa"/>
        </w:tblCellMar>
      </w:tblPr>
      <w:tblGrid>
        <w:gridCol w:w="3710"/>
        <w:gridCol w:w="60"/>
        <w:gridCol w:w="147"/>
        <w:gridCol w:w="937"/>
        <w:gridCol w:w="95"/>
        <w:gridCol w:w="60"/>
        <w:gridCol w:w="232"/>
        <w:gridCol w:w="1482"/>
        <w:gridCol w:w="95"/>
        <w:gridCol w:w="60"/>
        <w:gridCol w:w="228"/>
        <w:gridCol w:w="1456"/>
        <w:gridCol w:w="110"/>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Lifetime </w:t>
              <w:br/>
              <w:t>ECL-</w:t>
              <w:br/>
              <w:t xml:space="preserve">allowance </w:t>
              <w:b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Credit impaired </w:t>
              <w:b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allowance </w:t>
              <w:br/>
              <w:t>USD’000</w:t>
            </w:r>
          </w:p>
        </w:tc>
        <w:tc>
          <w:tcPr>
            <w:tcW w:w="110" w:type="dxa"/>
            <w:tcBorders/>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As at July 1, 2023</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628</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pPr>
            <w:r>
              <w:rPr/>
              <w:t>Charge for the financial year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6"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710" w:type="dxa"/>
            <w:tcBorders/>
            <w:shd w:fill="FFFFFF" w:val="clear"/>
            <w:vAlign w:val="center"/>
          </w:tcPr>
          <w:p>
            <w:pPr>
              <w:pStyle w:val="TableContents"/>
              <w:bidi w:val="0"/>
              <w:spacing w:before="0" w:after="283"/>
              <w:jc w:val="left"/>
              <w:rPr/>
            </w:pPr>
            <w:r>
              <w:rPr/>
              <w:t>As at June 30, 2024</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10" w:space="0" w:color="000000"/>
            </w:tcBorders>
            <w:shd w:fill="FFFFFF" w:val="clear"/>
            <w:tcMar>
              <w:bottom w:w="28" w:type="dxa"/>
            </w:tcMar>
            <w:vAlign w:val="center"/>
          </w:tcPr>
          <w:p>
            <w:pPr>
              <w:pStyle w:val="TableContents"/>
              <w:bidi w:val="0"/>
              <w:spacing w:before="0" w:after="283"/>
              <w:jc w:val="right"/>
              <w:rPr/>
            </w:pPr>
            <w:r>
              <w:rPr/>
              <w:t>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56" w:type="dxa"/>
            <w:tcBorders>
              <w:bottom w:val="double" w:sz="10" w:space="0" w:color="000000"/>
            </w:tcBorders>
            <w:shd w:fill="FFFFFF" w:val="clear"/>
            <w:tcMar>
              <w:bottom w:w="28" w:type="dxa"/>
            </w:tcMar>
            <w:vAlign w:val="center"/>
          </w:tcPr>
          <w:p>
            <w:pPr>
              <w:pStyle w:val="TableContents"/>
              <w:bidi w:val="0"/>
              <w:spacing w:before="0" w:after="283"/>
              <w:jc w:val="right"/>
              <w:rPr/>
            </w:pPr>
            <w:r>
              <w:rPr/>
              <w:t>636</w:t>
            </w:r>
          </w:p>
        </w:tc>
        <w:tc>
          <w:tcPr>
            <w:tcW w:w="11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pPr>
            <w:r>
              <w:rPr/>
              <w:t>As at July 1, 2024</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pPr>
            <w:r>
              <w:rPr/>
              <w:t>636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(Reversal)/charge for the financial year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710"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6"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710" w:type="dxa"/>
            <w:tcBorders/>
            <w:shd w:fill="CCEEFF" w:val="clear"/>
            <w:vAlign w:val="center"/>
          </w:tcPr>
          <w:p>
            <w:pPr>
              <w:pStyle w:val="TableContents"/>
              <w:bidi w:val="0"/>
              <w:spacing w:before="0" w:after="283"/>
              <w:jc w:val="left"/>
              <w:rPr/>
            </w:pPr>
            <w:r>
              <w:rPr/>
              <w:t>As at June 30, 2025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pPr>
            <w:r>
              <w:rPr/>
              <w:t>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double" w:sz="10" w:space="0" w:color="000000"/>
            </w:tcBorders>
            <w:shd w:fill="CCEEFF" w:val="clear"/>
            <w:tcMar>
              <w:bottom w:w="28" w:type="dxa"/>
            </w:tcMar>
            <w:vAlign w:val="center"/>
          </w:tcPr>
          <w:p>
            <w:pPr>
              <w:pStyle w:val="TableContents"/>
              <w:bidi w:val="0"/>
              <w:spacing w:before="0" w:after="283"/>
              <w:jc w:val="right"/>
              <w:rPr/>
            </w:pPr>
            <w:r>
              <w:rPr/>
              <w:t>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56" w:type="dxa"/>
            <w:tcBorders>
              <w:bottom w:val="double" w:sz="10" w:space="0" w:color="000000"/>
            </w:tcBorders>
            <w:shd w:fill="CCEEFF" w:val="clear"/>
            <w:tcMar>
              <w:bottom w:w="28" w:type="dxa"/>
            </w:tcMar>
            <w:vAlign w:val="center"/>
          </w:tcPr>
          <w:p>
            <w:pPr>
              <w:pStyle w:val="TableContents"/>
              <w:bidi w:val="0"/>
              <w:spacing w:before="0" w:after="283"/>
              <w:jc w:val="right"/>
              <w:rPr/>
            </w:pPr>
            <w:r>
              <w:rPr/>
              <w:t>696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75"/>
        <w:gridCol w:w="6815"/>
      </w:tblGrid>
      <w:tr>
        <w:trPr/>
        <w:tc>
          <w:tcPr>
            <w:tcW w:w="275" w:type="dxa"/>
            <w:tcBorders/>
            <w:vAlign w:val="center"/>
          </w:tcPr>
          <w:p>
            <w:pPr>
              <w:pStyle w:val="TableContents"/>
              <w:bidi w:val="0"/>
              <w:spacing w:before="0" w:after="283"/>
              <w:jc w:val="left"/>
              <w:rPr>
                <w:b/>
              </w:rPr>
            </w:pPr>
            <w:r>
              <w:rPr>
                <w:b/>
              </w:rPr>
              <w:t>11</w:t>
            </w:r>
          </w:p>
        </w:tc>
        <w:tc>
          <w:tcPr>
            <w:tcW w:w="6815" w:type="dxa"/>
            <w:tcBorders/>
            <w:vAlign w:val="center"/>
          </w:tcPr>
          <w:p>
            <w:pPr>
              <w:pStyle w:val="TableContents"/>
              <w:bidi w:val="0"/>
              <w:spacing w:before="0" w:after="283"/>
              <w:jc w:val="both"/>
              <w:rPr>
                <w:b/>
              </w:rPr>
            </w:pPr>
            <w:r>
              <w:rPr>
                <w:b/>
              </w:rPr>
              <w:t>OTHER TAX RECEIVABLES AND OTHER TAX PAYABLES</w:t>
            </w:r>
          </w:p>
        </w:tc>
      </w:tr>
    </w:tbl>
    <w:p>
      <w:pPr>
        <w:pStyle w:val="TextBody"/>
        <w:bidi w:val="0"/>
        <w:spacing w:before="0" w:after="0"/>
        <w:ind w:left="480" w:right="0" w:hanging="480"/>
        <w:jc w:val="both"/>
        <w:rPr>
          <w:caps w:val="false"/>
          <w:smallCaps w:val="false"/>
        </w:rPr>
      </w:pPr>
      <w:r>
        <w:rPr>
          <w:caps w:val="false"/>
          <w:smallCaps w:val="false"/>
        </w:rPr>
        <w:t> </w:t>
      </w:r>
    </w:p>
    <w:tbl>
      <w:tblPr>
        <w:tblW w:w="4253" w:type="dxa"/>
        <w:jc w:val="left"/>
        <w:tblInd w:w="0" w:type="dxa"/>
        <w:tblLayout w:type="fixed"/>
        <w:tblCellMar>
          <w:top w:w="0" w:type="dxa"/>
          <w:left w:w="0" w:type="dxa"/>
          <w:bottom w:w="0" w:type="dxa"/>
          <w:right w:w="0" w:type="dxa"/>
        </w:tblCellMar>
      </w:tblPr>
      <w:tblGrid>
        <w:gridCol w:w="2030"/>
        <w:gridCol w:w="60"/>
        <w:gridCol w:w="91"/>
        <w:gridCol w:w="858"/>
        <w:gridCol w:w="95"/>
        <w:gridCol w:w="60"/>
        <w:gridCol w:w="91"/>
        <w:gridCol w:w="858"/>
        <w:gridCol w:w="11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ind w:left="0" w:right="0" w:hanging="200"/>
              <w:jc w:val="left"/>
              <w:rPr/>
            </w:pPr>
            <w:r>
              <w:rPr/>
              <w:t> </w:t>
            </w:r>
          </w:p>
        </w:tc>
      </w:tr>
      <w:tr>
        <w:trPr/>
        <w:tc>
          <w:tcPr>
            <w:tcW w:w="2030" w:type="dxa"/>
            <w:tcBorders/>
            <w:shd w:fill="CCEEFF" w:val="clear"/>
            <w:vAlign w:val="center"/>
          </w:tcPr>
          <w:p>
            <w:pPr>
              <w:pStyle w:val="TableContents"/>
              <w:bidi w:val="0"/>
              <w:spacing w:before="0" w:after="283"/>
              <w:jc w:val="left"/>
              <w:rPr/>
            </w:pPr>
            <w:r>
              <w:rPr/>
              <w:t>Other tax receivables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1,827</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030" w:type="dxa"/>
            <w:tcBorders/>
            <w:shd w:fill="FFFFFF" w:val="clear"/>
            <w:vAlign w:val="center"/>
          </w:tcPr>
          <w:p>
            <w:pPr>
              <w:pStyle w:val="TableContents"/>
              <w:bidi w:val="0"/>
              <w:spacing w:before="0" w:after="283"/>
              <w:jc w:val="left"/>
              <w:rPr/>
            </w:pPr>
            <w:r>
              <w:rPr/>
              <w:t>Other tax payables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w:t>
            </w:r>
          </w:p>
        </w:tc>
      </w:tr>
      <w:tr>
        <w:trPr/>
        <w:tc>
          <w:tcPr>
            <w:tcW w:w="2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1,814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other tax receivables and payables of the Group were mainly withholding taxes (“Pajak Penghasilan”) and value added tax (“Pajak Pertambahan Nilai”) receivables from or payables to the tax authority of Republic of Indonesia.</w:t>
      </w:r>
    </w:p>
    <w:p>
      <w:pPr>
        <w:pStyle w:val="TextBody"/>
        <w:bidi w:val="0"/>
        <w:spacing w:before="0" w:after="0"/>
        <w:ind w:left="480" w:right="0" w:hanging="48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283"/>
              <w:jc w:val="left"/>
              <w:rPr>
                <w:b/>
              </w:rPr>
            </w:pPr>
            <w:r>
              <w:rPr>
                <w:b/>
              </w:rPr>
              <w:t>12</w:t>
            </w:r>
          </w:p>
        </w:tc>
        <w:tc>
          <w:tcPr>
            <w:tcW w:w="3890" w:type="dxa"/>
            <w:tcBorders/>
            <w:vAlign w:val="center"/>
          </w:tcPr>
          <w:p>
            <w:pPr>
              <w:pStyle w:val="TableContents"/>
              <w:bidi w:val="0"/>
              <w:spacing w:before="0" w:after="283"/>
              <w:jc w:val="both"/>
              <w:rPr>
                <w:b/>
              </w:rPr>
            </w:pPr>
            <w:r>
              <w:rPr>
                <w:b/>
              </w:rPr>
              <w:t>CASH AND CASH EQUIVALENTS</w:t>
            </w:r>
          </w:p>
        </w:tc>
      </w:tr>
    </w:tbl>
    <w:p>
      <w:pPr>
        <w:pStyle w:val="TextBody"/>
        <w:bidi w:val="0"/>
        <w:spacing w:before="0" w:after="0"/>
        <w:ind w:left="480" w:right="0" w:hanging="480"/>
        <w:jc w:val="both"/>
        <w:rPr>
          <w:caps w:val="false"/>
          <w:smallCaps w:val="false"/>
        </w:rPr>
      </w:pPr>
      <w:r>
        <w:rPr>
          <w:caps w:val="false"/>
          <w:smallCaps w:val="false"/>
        </w:rPr>
        <w:t> </w:t>
      </w:r>
    </w:p>
    <w:tbl>
      <w:tblPr>
        <w:tblW w:w="5443" w:type="dxa"/>
        <w:jc w:val="left"/>
        <w:tblInd w:w="0" w:type="dxa"/>
        <w:tblLayout w:type="fixed"/>
        <w:tblCellMar>
          <w:top w:w="0" w:type="dxa"/>
          <w:left w:w="0" w:type="dxa"/>
          <w:bottom w:w="0" w:type="dxa"/>
          <w:right w:w="0" w:type="dxa"/>
        </w:tblCellMar>
      </w:tblPr>
      <w:tblGrid>
        <w:gridCol w:w="3290"/>
        <w:gridCol w:w="60"/>
        <w:gridCol w:w="91"/>
        <w:gridCol w:w="858"/>
        <w:gridCol w:w="60"/>
        <w:gridCol w:w="60"/>
        <w:gridCol w:w="91"/>
        <w:gridCol w:w="858"/>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200"/>
              <w:jc w:val="left"/>
              <w:rPr/>
            </w:pPr>
            <w:r>
              <w:rPr/>
              <w:t> </w:t>
            </w:r>
          </w:p>
        </w:tc>
      </w:tr>
      <w:tr>
        <w:trPr/>
        <w:tc>
          <w:tcPr>
            <w:tcW w:w="3290" w:type="dxa"/>
            <w:tcBorders/>
            <w:shd w:fill="CCEEFF" w:val="clear"/>
            <w:vAlign w:val="center"/>
          </w:tcPr>
          <w:p>
            <w:pPr>
              <w:pStyle w:val="TableContents"/>
              <w:bidi w:val="0"/>
              <w:spacing w:before="0" w:after="283"/>
              <w:jc w:val="left"/>
              <w:rPr/>
            </w:pPr>
            <w:r>
              <w:rPr/>
              <w:t>Cash and bank balances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922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290" w:type="dxa"/>
            <w:tcBorders/>
            <w:shd w:fill="FFFFFF" w:val="clear"/>
            <w:vAlign w:val="center"/>
          </w:tcPr>
          <w:p>
            <w:pPr>
              <w:pStyle w:val="TableContents"/>
              <w:bidi w:val="0"/>
              <w:spacing w:before="0" w:after="283"/>
              <w:jc w:val="left"/>
              <w:rPr/>
            </w:pPr>
            <w:r>
              <w:rPr/>
              <w:t>Deposits with financial institutions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685</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1,607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275"/>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390" w:type="dxa"/>
            <w:tcBorders/>
            <w:vAlign w:val="center"/>
          </w:tcPr>
          <w:p>
            <w:pPr>
              <w:pStyle w:val="TableContents"/>
              <w:bidi w:val="0"/>
              <w:spacing w:before="0" w:after="283"/>
              <w:jc w:val="both"/>
              <w:rPr/>
            </w:pPr>
            <w:r>
              <w:rPr/>
              <w:t>Cash and bank balances are classified as financial assets and measured at amortized cost.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Deposits with financial institutions of the Group amounting to USD366,000 (2024: USD637,000) are pledged as securities for bank borrowings as disclosed in Note 15 to the consolidated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Fixed deposits will mature within 1 to 12 months (2024: 1 to 12 months) from the year end and the effective interest rate on the fixed deposits ranging between 2.25% and 2.40% (2024: 2.25% and 2.80%; 2023: 1.65% and 2.65%) per annum.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75"/>
        <w:gridCol w:w="4565"/>
      </w:tblGrid>
      <w:tr>
        <w:trPr/>
        <w:tc>
          <w:tcPr>
            <w:tcW w:w="275" w:type="dxa"/>
            <w:tcBorders/>
            <w:vAlign w:val="center"/>
          </w:tcPr>
          <w:p>
            <w:pPr>
              <w:pStyle w:val="TableContents"/>
              <w:bidi w:val="0"/>
              <w:spacing w:before="0" w:after="283"/>
              <w:jc w:val="left"/>
              <w:rPr>
                <w:b/>
              </w:rPr>
            </w:pPr>
            <w:r>
              <w:rPr>
                <w:b/>
              </w:rPr>
              <w:t>12</w:t>
            </w:r>
          </w:p>
        </w:tc>
        <w:tc>
          <w:tcPr>
            <w:tcW w:w="4565" w:type="dxa"/>
            <w:tcBorders/>
            <w:vAlign w:val="center"/>
          </w:tcPr>
          <w:p>
            <w:pPr>
              <w:pStyle w:val="TableContents"/>
              <w:bidi w:val="0"/>
              <w:spacing w:before="0" w:after="283"/>
              <w:jc w:val="both"/>
              <w:rPr/>
            </w:pPr>
            <w:r>
              <w:rPr>
                <w:b/>
              </w:rPr>
              <w:t>CASH AND CASH EQUIVALENTS</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(d)</w:t>
            </w:r>
          </w:p>
        </w:tc>
        <w:tc>
          <w:tcPr>
            <w:tcW w:w="9896" w:type="dxa"/>
            <w:tcBorders/>
            <w:vAlign w:val="center"/>
          </w:tcPr>
          <w:p>
            <w:pPr>
              <w:pStyle w:val="TableContents"/>
              <w:bidi w:val="0"/>
              <w:spacing w:before="0" w:after="283"/>
              <w:jc w:val="both"/>
              <w:rPr/>
            </w:pPr>
            <w:r>
              <w:rPr/>
              <w:t>For the purpose of the statements of cash flows, cash and cash equivalents comprise the following as at the end of each reporting period: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25"/>
        <w:gridCol w:w="60"/>
        <w:gridCol w:w="80"/>
        <w:gridCol w:w="756"/>
        <w:gridCol w:w="95"/>
        <w:gridCol w:w="60"/>
        <w:gridCol w:w="80"/>
        <w:gridCol w:w="756"/>
        <w:gridCol w:w="95"/>
        <w:gridCol w:w="60"/>
        <w:gridCol w:w="80"/>
        <w:gridCol w:w="756"/>
        <w:gridCol w:w="102"/>
      </w:tblGrid>
      <w:tr>
        <w:trPr/>
        <w:tc>
          <w:tcPr>
            <w:tcW w:w="722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2" w:type="dxa"/>
            <w:tcBorders/>
            <w:vAlign w:val="center"/>
          </w:tcPr>
          <w:p>
            <w:pPr>
              <w:pStyle w:val="TableContents"/>
              <w:bidi w:val="0"/>
              <w:spacing w:before="0" w:after="283"/>
              <w:ind w:left="0" w:right="0" w:hanging="180"/>
              <w:jc w:val="center"/>
              <w:rPr/>
            </w:pPr>
            <w:r>
              <w:rPr/>
              <w:t> </w:t>
            </w:r>
          </w:p>
        </w:tc>
      </w:tr>
      <w:tr>
        <w:trPr/>
        <w:tc>
          <w:tcPr>
            <w:tcW w:w="7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6"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6"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6" w:type="dxa"/>
            <w:gridSpan w:val="2"/>
            <w:tcBorders/>
            <w:vAlign w:val="center"/>
          </w:tcPr>
          <w:p>
            <w:pPr>
              <w:pStyle w:val="TableContents"/>
              <w:bidi w:val="0"/>
              <w:spacing w:before="0" w:after="283"/>
              <w:jc w:val="center"/>
              <w:rPr>
                <w:b/>
              </w:rPr>
            </w:pPr>
            <w:r>
              <w:rPr>
                <w:b/>
              </w:rPr>
              <w:t>USD’000</w:t>
            </w:r>
          </w:p>
        </w:tc>
        <w:tc>
          <w:tcPr>
            <w:tcW w:w="102" w:type="dxa"/>
            <w:tcBorders/>
            <w:vAlign w:val="center"/>
          </w:tcPr>
          <w:p>
            <w:pPr>
              <w:pStyle w:val="TableContents"/>
              <w:bidi w:val="0"/>
              <w:spacing w:before="0" w:after="283"/>
              <w:ind w:left="0" w:right="0" w:hanging="180"/>
              <w:jc w:val="center"/>
              <w:rPr/>
            </w:pPr>
            <w:r>
              <w:rPr/>
              <w:t> </w:t>
            </w:r>
          </w:p>
        </w:tc>
      </w:tr>
      <w:tr>
        <w:trPr/>
        <w:tc>
          <w:tcPr>
            <w:tcW w:w="7225" w:type="dxa"/>
            <w:tcBorders/>
            <w:shd w:fill="CCEEFF" w:val="clear"/>
            <w:vAlign w:val="center"/>
          </w:tcPr>
          <w:p>
            <w:pPr>
              <w:pStyle w:val="TableContents"/>
              <w:bidi w:val="0"/>
              <w:spacing w:before="0" w:after="283"/>
              <w:jc w:val="left"/>
              <w:rPr/>
            </w:pPr>
            <w:r>
              <w:rPr/>
              <w:t>Cash and bank balances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922</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25" w:type="dxa"/>
            <w:tcBorders/>
            <w:shd w:fill="FFFFFF" w:val="clear"/>
            <w:vAlign w:val="center"/>
          </w:tcPr>
          <w:p>
            <w:pPr>
              <w:pStyle w:val="TableContents"/>
              <w:bidi w:val="0"/>
              <w:spacing w:before="0" w:after="283"/>
              <w:jc w:val="left"/>
              <w:rPr/>
            </w:pPr>
            <w:r>
              <w:rPr/>
              <w:t>Deposits with financial institutions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899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685</w:t>
            </w:r>
          </w:p>
        </w:tc>
        <w:tc>
          <w:tcPr>
            <w:tcW w:w="102" w:type="dxa"/>
            <w:tcBorders/>
            <w:shd w:fill="FFFFFF" w:val="clear"/>
            <w:vAlign w:val="center"/>
          </w:tcPr>
          <w:p>
            <w:pPr>
              <w:pStyle w:val="TableContents"/>
              <w:bidi w:val="0"/>
              <w:spacing w:before="0" w:after="283"/>
              <w:ind w:left="0" w:right="0" w:hanging="180"/>
              <w:jc w:val="left"/>
              <w:rPr/>
            </w:pPr>
            <w:r>
              <w:rPr/>
              <w:t> </w:t>
            </w:r>
          </w:p>
        </w:tc>
      </w:tr>
      <w:tr>
        <w:trPr/>
        <w:tc>
          <w:tcPr>
            <w:tcW w:w="7225"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ind w:left="0" w:right="0" w:hanging="180"/>
              <w:jc w:val="left"/>
              <w:rPr/>
            </w:pPr>
            <w:r>
              <w:rPr/>
              <w:t> </w:t>
            </w:r>
          </w:p>
        </w:tc>
      </w:tr>
      <w:tr>
        <w:trPr/>
        <w:tc>
          <w:tcPr>
            <w:tcW w:w="7225" w:type="dxa"/>
            <w:tcBorders/>
            <w:shd w:fill="FFFFFF" w:val="clear"/>
            <w:vAlign w:val="center"/>
          </w:tcPr>
          <w:p>
            <w:pPr>
              <w:pStyle w:val="TableContents"/>
              <w:bidi w:val="0"/>
              <w:spacing w:before="0" w:after="283"/>
              <w:jc w:val="left"/>
              <w:rPr/>
            </w:pPr>
            <w:r>
              <w:rPr/>
              <w:t>Deposits pledged with financial institutions and maturities for more than 3 months from the date of acquisition</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(637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pPr>
            <w:r>
              <w:rPr/>
              <w:t>(366</w:t>
            </w:r>
          </w:p>
        </w:tc>
        <w:tc>
          <w:tcPr>
            <w:tcW w:w="102" w:type="dxa"/>
            <w:tcBorders/>
            <w:shd w:fill="FFFFFF" w:val="clear"/>
            <w:vAlign w:val="center"/>
          </w:tcPr>
          <w:p>
            <w:pPr>
              <w:pStyle w:val="TableContents"/>
              <w:bidi w:val="0"/>
              <w:spacing w:before="0" w:after="283"/>
              <w:ind w:left="0" w:right="0" w:hanging="180"/>
              <w:jc w:val="left"/>
              <w:rPr/>
            </w:pPr>
            <w:r>
              <w:rPr/>
              <w:t>)</w:t>
            </w:r>
          </w:p>
        </w:tc>
      </w:tr>
      <w:tr>
        <w:trPr/>
        <w:tc>
          <w:tcPr>
            <w:tcW w:w="7225" w:type="dxa"/>
            <w:tcBorders/>
            <w:shd w:fill="CCEEFF" w:val="clear"/>
            <w:vAlign w:val="center"/>
          </w:tcPr>
          <w:p>
            <w:pPr>
              <w:pStyle w:val="TableContents"/>
              <w:bidi w:val="0"/>
              <w:spacing w:before="0" w:after="283"/>
              <w:jc w:val="left"/>
              <w:rPr/>
            </w:pPr>
            <w:r>
              <w:rPr/>
              <w:t>Cash and cash equivalents presented in the statements of cash flows</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pPr>
            <w:r>
              <w:rPr/>
              <w:t>1,252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pPr>
            <w:r>
              <w:rPr/>
              <w:t>1,837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pPr>
            <w:r>
              <w:rPr/>
              <w:t>1,241</w:t>
            </w:r>
          </w:p>
        </w:tc>
        <w:tc>
          <w:tcPr>
            <w:tcW w:w="10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(f)</w:t>
            </w:r>
          </w:p>
        </w:tc>
        <w:tc>
          <w:tcPr>
            <w:tcW w:w="9961" w:type="dxa"/>
            <w:tcBorders/>
            <w:vAlign w:val="center"/>
          </w:tcPr>
          <w:p>
            <w:pPr>
              <w:pStyle w:val="TableContents"/>
              <w:bidi w:val="0"/>
              <w:spacing w:before="0" w:after="283"/>
              <w:jc w:val="both"/>
              <w:rPr/>
            </w:pPr>
            <w:r>
              <w:rPr/>
              <w:t>The restricted cash which has restriction in use and its movement mainly pertain to the additional collaterals secured for the bank facilities as disclosed in the Note 15 to the consolidated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(g)</w:t>
            </w:r>
          </w:p>
        </w:tc>
        <w:tc>
          <w:tcPr>
            <w:tcW w:w="9913" w:type="dxa"/>
            <w:tcBorders/>
            <w:vAlign w:val="center"/>
          </w:tcPr>
          <w:p>
            <w:pPr>
              <w:pStyle w:val="TableContents"/>
              <w:bidi w:val="0"/>
              <w:spacing w:before="0" w:after="283"/>
              <w:jc w:val="both"/>
              <w:rPr/>
            </w:pPr>
            <w:r>
              <w:rPr/>
              <w:t>No expected credit loss is recognized arising from the cash and bank balances and deposits with financial institutions as the probability of default by these financial institutions is clearly trivial.</w:t>
            </w:r>
          </w:p>
        </w:tc>
      </w:tr>
    </w:tbl>
    <w:p>
      <w:pPr>
        <w:pStyle w:val="TextBody"/>
        <w:bidi w:val="0"/>
        <w:spacing w:before="0" w:after="0"/>
        <w:ind w:left="480" w:right="0" w:hanging="48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75"/>
        <w:gridCol w:w="2285"/>
      </w:tblGrid>
      <w:tr>
        <w:trPr/>
        <w:tc>
          <w:tcPr>
            <w:tcW w:w="275" w:type="dxa"/>
            <w:tcBorders/>
            <w:vAlign w:val="center"/>
          </w:tcPr>
          <w:p>
            <w:pPr>
              <w:pStyle w:val="TableContents"/>
              <w:bidi w:val="0"/>
              <w:spacing w:before="0" w:after="283"/>
              <w:jc w:val="left"/>
              <w:rPr>
                <w:b/>
              </w:rPr>
            </w:pPr>
            <w:r>
              <w:rPr>
                <w:b/>
              </w:rPr>
              <w:t>13</w:t>
            </w:r>
          </w:p>
        </w:tc>
        <w:tc>
          <w:tcPr>
            <w:tcW w:w="2285" w:type="dxa"/>
            <w:tcBorders/>
            <w:vAlign w:val="center"/>
          </w:tcPr>
          <w:p>
            <w:pPr>
              <w:pStyle w:val="TableContents"/>
              <w:bidi w:val="0"/>
              <w:spacing w:before="0" w:after="283"/>
              <w:jc w:val="both"/>
              <w:rPr>
                <w:b/>
              </w:rPr>
            </w:pPr>
            <w:r>
              <w:rPr>
                <w:b/>
              </w:rPr>
              <w:t>TRADE PAYABLES</w:t>
            </w:r>
          </w:p>
        </w:tc>
      </w:tr>
    </w:tbl>
    <w:p>
      <w:pPr>
        <w:pStyle w:val="TextBody"/>
        <w:bidi w:val="0"/>
        <w:spacing w:before="0" w:after="0"/>
        <w:ind w:left="480" w:right="0" w:hanging="480"/>
        <w:jc w:val="both"/>
        <w:rPr>
          <w:caps w:val="false"/>
          <w:smallCaps w:val="false"/>
        </w:rPr>
      </w:pPr>
      <w:r>
        <w:rPr>
          <w:caps w:val="false"/>
          <w:smallCaps w:val="false"/>
        </w:rPr>
        <w:t> </w:t>
      </w:r>
    </w:p>
    <w:tbl>
      <w:tblPr>
        <w:tblW w:w="4978" w:type="dxa"/>
        <w:jc w:val="left"/>
        <w:tblInd w:w="0" w:type="dxa"/>
        <w:tblLayout w:type="fixed"/>
        <w:tblCellMar>
          <w:top w:w="0" w:type="dxa"/>
          <w:left w:w="0" w:type="dxa"/>
          <w:bottom w:w="0" w:type="dxa"/>
          <w:right w:w="0" w:type="dxa"/>
        </w:tblCellMar>
      </w:tblPr>
      <w:tblGrid>
        <w:gridCol w:w="2825"/>
        <w:gridCol w:w="60"/>
        <w:gridCol w:w="91"/>
        <w:gridCol w:w="858"/>
        <w:gridCol w:w="60"/>
        <w:gridCol w:w="60"/>
        <w:gridCol w:w="91"/>
        <w:gridCol w:w="858"/>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Trade payables – third parties</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1,140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7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850" w:type="dxa"/>
            <w:tcBorders/>
            <w:vAlign w:val="center"/>
          </w:tcPr>
          <w:p>
            <w:pPr>
              <w:pStyle w:val="TableContents"/>
              <w:bidi w:val="0"/>
              <w:spacing w:before="0" w:after="283"/>
              <w:jc w:val="both"/>
              <w:rPr/>
            </w:pPr>
            <w:r>
              <w:rPr/>
              <w:t>Trade payables are classified as financial liabilities and measured at amortized cost.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Trade payables are unsecured, non-interest bearing and are generally on 30 to 90 days (2024: 30 to 90 days) credit terms.</w:t>
            </w:r>
          </w:p>
        </w:tc>
      </w:tr>
    </w:tbl>
    <w:p>
      <w:pPr>
        <w:pStyle w:val="TextBody"/>
        <w:bidi w:val="0"/>
        <w:spacing w:before="0" w:after="0"/>
        <w:ind w:left="480" w:right="0" w:hanging="48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75"/>
        <w:gridCol w:w="2285"/>
      </w:tblGrid>
      <w:tr>
        <w:trPr/>
        <w:tc>
          <w:tcPr>
            <w:tcW w:w="275" w:type="dxa"/>
            <w:tcBorders/>
            <w:vAlign w:val="center"/>
          </w:tcPr>
          <w:p>
            <w:pPr>
              <w:pStyle w:val="TableContents"/>
              <w:bidi w:val="0"/>
              <w:spacing w:before="0" w:after="283"/>
              <w:jc w:val="left"/>
              <w:rPr>
                <w:b/>
              </w:rPr>
            </w:pPr>
            <w:r>
              <w:rPr>
                <w:b/>
              </w:rPr>
              <w:t>14</w:t>
            </w:r>
          </w:p>
        </w:tc>
        <w:tc>
          <w:tcPr>
            <w:tcW w:w="2285" w:type="dxa"/>
            <w:tcBorders/>
            <w:vAlign w:val="center"/>
          </w:tcPr>
          <w:p>
            <w:pPr>
              <w:pStyle w:val="TableContents"/>
              <w:bidi w:val="0"/>
              <w:spacing w:before="0" w:after="283"/>
              <w:jc w:val="both"/>
              <w:rPr>
                <w:b/>
              </w:rPr>
            </w:pPr>
            <w:r>
              <w:rPr>
                <w:b/>
              </w:rPr>
              <w:t>OTHER PAYABLES</w:t>
            </w:r>
          </w:p>
        </w:tc>
      </w:tr>
    </w:tbl>
    <w:p>
      <w:pPr>
        <w:pStyle w:val="TextBody"/>
        <w:bidi w:val="0"/>
        <w:spacing w:before="0" w:after="283"/>
        <w:jc w:val="left"/>
        <w:rPr/>
      </w:pPr>
      <w:r>
        <w:rPr/>
        <w:t> </w:t>
      </w:r>
    </w:p>
    <w:tbl>
      <w:tblPr>
        <w:tblW w:w="5473" w:type="dxa"/>
        <w:jc w:val="left"/>
        <w:tblInd w:w="0" w:type="dxa"/>
        <w:tblLayout w:type="fixed"/>
        <w:tblCellMar>
          <w:top w:w="0" w:type="dxa"/>
          <w:left w:w="0" w:type="dxa"/>
          <w:bottom w:w="0" w:type="dxa"/>
          <w:right w:w="0" w:type="dxa"/>
        </w:tblCellMar>
      </w:tblPr>
      <w:tblGrid>
        <w:gridCol w:w="3320"/>
        <w:gridCol w:w="60"/>
        <w:gridCol w:w="128"/>
        <w:gridCol w:w="821"/>
        <w:gridCol w:w="60"/>
        <w:gridCol w:w="60"/>
        <w:gridCol w:w="91"/>
        <w:gridCol w:w="858"/>
        <w:gridCol w:w="75"/>
      </w:tblGrid>
      <w:tr>
        <w:trPr/>
        <w:tc>
          <w:tcPr>
            <w:tcW w:w="33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180"/>
              <w:jc w:val="left"/>
              <w:rPr/>
            </w:pPr>
            <w:r>
              <w:rPr/>
              <w:t> </w:t>
            </w:r>
          </w:p>
        </w:tc>
      </w:tr>
      <w:tr>
        <w:trPr/>
        <w:tc>
          <w:tcPr>
            <w:tcW w:w="3320" w:type="dxa"/>
            <w:tcBorders/>
            <w:vAlign w:val="center"/>
          </w:tcPr>
          <w:p>
            <w:pPr>
              <w:pStyle w:val="TableContents"/>
              <w:bidi w:val="0"/>
              <w:spacing w:before="0" w:after="283"/>
              <w:jc w:val="left"/>
              <w:rPr>
                <w:b/>
              </w:rPr>
            </w:pPr>
            <w:r>
              <w:rPr>
                <w:b/>
              </w:rPr>
              <w:t>Other payables</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Other payables – third parties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Accruals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734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Accrued payroll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Provision for warranty (Note 14.b)</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110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pPr>
            <w:r>
              <w:rPr/>
              <w:t>Provision for unutilized leave</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1,378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27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065" w:type="dxa"/>
            <w:tcBorders/>
            <w:vAlign w:val="center"/>
          </w:tcPr>
          <w:p>
            <w:pPr>
              <w:pStyle w:val="TableContents"/>
              <w:bidi w:val="0"/>
              <w:spacing w:before="0" w:after="283"/>
              <w:jc w:val="both"/>
              <w:rPr/>
            </w:pPr>
            <w:r>
              <w:rPr/>
              <w:t>Other payables and accruals are classified as financial liabilities and measured at amortized 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275"/>
        <w:gridCol w:w="2960"/>
      </w:tblGrid>
      <w:tr>
        <w:trPr/>
        <w:tc>
          <w:tcPr>
            <w:tcW w:w="275" w:type="dxa"/>
            <w:tcBorders/>
            <w:vAlign w:val="center"/>
          </w:tcPr>
          <w:p>
            <w:pPr>
              <w:pStyle w:val="TableContents"/>
              <w:bidi w:val="0"/>
              <w:spacing w:before="0" w:after="283"/>
              <w:jc w:val="left"/>
              <w:rPr>
                <w:b/>
              </w:rPr>
            </w:pPr>
            <w:r>
              <w:rPr>
                <w:b/>
              </w:rPr>
              <w:t>14</w:t>
            </w:r>
          </w:p>
        </w:tc>
        <w:tc>
          <w:tcPr>
            <w:tcW w:w="2960" w:type="dxa"/>
            <w:tcBorders/>
            <w:vAlign w:val="center"/>
          </w:tcPr>
          <w:p>
            <w:pPr>
              <w:pStyle w:val="TableContents"/>
              <w:bidi w:val="0"/>
              <w:spacing w:before="0" w:after="283"/>
              <w:jc w:val="both"/>
              <w:rPr/>
            </w:pPr>
            <w:r>
              <w:rPr>
                <w:b/>
              </w:rPr>
              <w:t>OTHER PAYABLES</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29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985" w:type="dxa"/>
            <w:tcBorders/>
            <w:vAlign w:val="center"/>
          </w:tcPr>
          <w:p>
            <w:pPr>
              <w:pStyle w:val="TableContents"/>
              <w:bidi w:val="0"/>
              <w:spacing w:before="0" w:after="283"/>
              <w:jc w:val="both"/>
              <w:rPr/>
            </w:pPr>
            <w:r>
              <w:rPr/>
              <w:t>Movements in provision for warranty are as follows:</w:t>
            </w:r>
          </w:p>
        </w:tc>
      </w:tr>
    </w:tbl>
    <w:p>
      <w:pPr>
        <w:pStyle w:val="TextBody"/>
        <w:bidi w:val="0"/>
        <w:spacing w:before="0" w:after="283"/>
        <w:jc w:val="left"/>
        <w:rPr/>
      </w:pPr>
      <w:r>
        <w:rPr/>
        <w:t> </w:t>
      </w:r>
    </w:p>
    <w:tbl>
      <w:tblPr>
        <w:tblW w:w="4244" w:type="dxa"/>
        <w:jc w:val="left"/>
        <w:tblInd w:w="0" w:type="dxa"/>
        <w:tblLayout w:type="fixed"/>
        <w:tblCellMar>
          <w:top w:w="0" w:type="dxa"/>
          <w:left w:w="0" w:type="dxa"/>
          <w:bottom w:w="0" w:type="dxa"/>
          <w:right w:w="0" w:type="dxa"/>
        </w:tblCellMar>
      </w:tblPr>
      <w:tblGrid>
        <w:gridCol w:w="2990"/>
        <w:gridCol w:w="60"/>
        <w:gridCol w:w="147"/>
        <w:gridCol w:w="937"/>
        <w:gridCol w:w="110"/>
      </w:tblGrid>
      <w:tr>
        <w:trPr/>
        <w:tc>
          <w:tcPr>
            <w:tcW w:w="29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 xml:space="preserve">allowance </w:t>
              <w:br/>
              <w:t>USD’000</w:t>
            </w:r>
          </w:p>
        </w:tc>
        <w:tc>
          <w:tcPr>
            <w:tcW w:w="110" w:type="dxa"/>
            <w:tcBorders/>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As at July 1, 2023</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Utilized during the year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90" w:type="dxa"/>
            <w:tcBorders/>
            <w:shd w:fill="CCEEFF" w:val="clear"/>
            <w:vAlign w:val="center"/>
          </w:tcPr>
          <w:p>
            <w:pPr>
              <w:pStyle w:val="TableContents"/>
              <w:bidi w:val="0"/>
              <w:spacing w:before="0" w:after="283"/>
              <w:jc w:val="left"/>
              <w:rPr/>
            </w:pPr>
            <w:r>
              <w:rPr/>
              <w:t>Provision made during the year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90" w:type="dxa"/>
            <w:tcBorders/>
            <w:shd w:fill="CCEEFF" w:val="clear"/>
            <w:vAlign w:val="center"/>
          </w:tcPr>
          <w:p>
            <w:pPr>
              <w:pStyle w:val="TableContents"/>
              <w:bidi w:val="0"/>
              <w:spacing w:before="0" w:after="283"/>
              <w:jc w:val="left"/>
              <w:rPr/>
            </w:pPr>
            <w:r>
              <w:rPr/>
              <w:t>As at June 30, 2024</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Utilized during the year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990" w:type="dxa"/>
            <w:tcBorders/>
            <w:shd w:fill="CCEEFF" w:val="clear"/>
            <w:vAlign w:val="center"/>
          </w:tcPr>
          <w:p>
            <w:pPr>
              <w:pStyle w:val="TableContents"/>
              <w:bidi w:val="0"/>
              <w:spacing w:before="0" w:after="283"/>
              <w:jc w:val="left"/>
              <w:rPr/>
            </w:pPr>
            <w:r>
              <w:rPr/>
              <w:t>Provision made during the year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990"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990" w:type="dxa"/>
            <w:tcBorders/>
            <w:shd w:fill="CCEEFF" w:val="clear"/>
            <w:vAlign w:val="center"/>
          </w:tcPr>
          <w:p>
            <w:pPr>
              <w:pStyle w:val="TableContents"/>
              <w:bidi w:val="0"/>
              <w:spacing w:before="0" w:after="283"/>
              <w:jc w:val="left"/>
              <w:rPr/>
            </w:pPr>
            <w:r>
              <w:rPr/>
              <w:t>As at June 30, 2025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75"/>
        <w:gridCol w:w="1745"/>
      </w:tblGrid>
      <w:tr>
        <w:trPr/>
        <w:tc>
          <w:tcPr>
            <w:tcW w:w="275" w:type="dxa"/>
            <w:tcBorders/>
            <w:vAlign w:val="center"/>
          </w:tcPr>
          <w:p>
            <w:pPr>
              <w:pStyle w:val="TableContents"/>
              <w:bidi w:val="0"/>
              <w:spacing w:before="0" w:after="283"/>
              <w:jc w:val="left"/>
              <w:rPr>
                <w:b/>
              </w:rPr>
            </w:pPr>
            <w:r>
              <w:rPr>
                <w:b/>
              </w:rPr>
              <w:t>15</w:t>
            </w:r>
          </w:p>
        </w:tc>
        <w:tc>
          <w:tcPr>
            <w:tcW w:w="1745" w:type="dxa"/>
            <w:tcBorders/>
            <w:vAlign w:val="center"/>
          </w:tcPr>
          <w:p>
            <w:pPr>
              <w:pStyle w:val="TableContents"/>
              <w:bidi w:val="0"/>
              <w:spacing w:before="0" w:after="283"/>
              <w:jc w:val="both"/>
              <w:rPr>
                <w:b/>
              </w:rPr>
            </w:pPr>
            <w:r>
              <w:rPr>
                <w:b/>
              </w:rPr>
              <w:t>BORROWINGS</w:t>
            </w:r>
          </w:p>
        </w:tc>
      </w:tr>
    </w:tbl>
    <w:p>
      <w:pPr>
        <w:pStyle w:val="TextBody"/>
        <w:bidi w:val="0"/>
        <w:spacing w:before="0" w:after="0"/>
        <w:ind w:left="480" w:right="0" w:hanging="480"/>
        <w:jc w:val="both"/>
        <w:rPr>
          <w:caps w:val="false"/>
          <w:smallCaps w:val="false"/>
        </w:rPr>
      </w:pPr>
      <w:r>
        <w:rPr>
          <w:caps w:val="false"/>
          <w:smallCaps w:val="false"/>
        </w:rPr>
        <w:t> </w:t>
      </w:r>
    </w:p>
    <w:tbl>
      <w:tblPr>
        <w:tblW w:w="3973" w:type="dxa"/>
        <w:jc w:val="left"/>
        <w:tblInd w:w="0" w:type="dxa"/>
        <w:tblLayout w:type="fixed"/>
        <w:tblCellMar>
          <w:top w:w="0" w:type="dxa"/>
          <w:left w:w="0" w:type="dxa"/>
          <w:bottom w:w="0" w:type="dxa"/>
          <w:right w:w="0" w:type="dxa"/>
        </w:tblCellMar>
      </w:tblPr>
      <w:tblGrid>
        <w:gridCol w:w="1820"/>
        <w:gridCol w:w="60"/>
        <w:gridCol w:w="91"/>
        <w:gridCol w:w="858"/>
        <w:gridCol w:w="60"/>
        <w:gridCol w:w="60"/>
        <w:gridCol w:w="91"/>
        <w:gridCol w:w="858"/>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Banker acceptance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178</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Trust receipts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192</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106</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476</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b/>
              </w:rPr>
            </w:pPr>
            <w:r>
              <w:rPr>
                <w:b/>
              </w:rPr>
              <w:t>Non-current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Trust receipts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624</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624</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b/>
              </w:rPr>
            </w:pPr>
            <w:r>
              <w:rPr>
                <w:b/>
              </w:rPr>
              <w:t>Grand total</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b/>
              </w:rPr>
            </w:pPr>
            <w:r>
              <w:rPr>
                <w:b/>
              </w:rPr>
              <w:t>Total borrowings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Banker acceptance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178</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Trust receipts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192</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Term loans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730</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275"/>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745" w:type="dxa"/>
            <w:tcBorders/>
            <w:vAlign w:val="center"/>
          </w:tcPr>
          <w:p>
            <w:pPr>
              <w:pStyle w:val="TableContents"/>
              <w:bidi w:val="0"/>
              <w:spacing w:before="0" w:after="283"/>
              <w:jc w:val="both"/>
              <w:rPr/>
            </w:pPr>
            <w:r>
              <w:rPr/>
              <w:t>Bank borrowings:</w:t>
            </w:r>
          </w:p>
        </w:tc>
      </w:tr>
    </w:tbl>
    <w:p>
      <w:pPr>
        <w:pStyle w:val="TextBody"/>
        <w:bidi w:val="0"/>
        <w:spacing w:before="0" w:after="0"/>
        <w:ind w:left="960" w:right="0" w:hanging="480"/>
        <w:jc w:val="both"/>
        <w:rPr>
          <w:caps w:val="false"/>
          <w:smallCaps w:val="false"/>
        </w:rPr>
      </w:pPr>
      <w:r>
        <w:rPr>
          <w:caps w:val="false"/>
          <w:smallCaps w:val="false"/>
        </w:rPr>
        <w:t> </w:t>
      </w:r>
    </w:p>
    <w:tbl>
      <w:tblPr>
        <w:tblW w:w="4543" w:type="dxa"/>
        <w:jc w:val="left"/>
        <w:tblInd w:w="0" w:type="dxa"/>
        <w:tblLayout w:type="fixed"/>
        <w:tblCellMar>
          <w:top w:w="0" w:type="dxa"/>
          <w:left w:w="0" w:type="dxa"/>
          <w:bottom w:w="0" w:type="dxa"/>
          <w:right w:w="0" w:type="dxa"/>
        </w:tblCellMar>
      </w:tblPr>
      <w:tblGrid>
        <w:gridCol w:w="2390"/>
        <w:gridCol w:w="60"/>
        <w:gridCol w:w="128"/>
        <w:gridCol w:w="821"/>
        <w:gridCol w:w="60"/>
        <w:gridCol w:w="60"/>
        <w:gridCol w:w="128"/>
        <w:gridCol w:w="821"/>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Term loan I</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82</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Term loan II</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24</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106</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b/>
              </w:rPr>
            </w:pPr>
            <w:r>
              <w:rPr>
                <w:b/>
              </w:rPr>
              <w:t>Non-current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Term loan I</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624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Term loan II</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624</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b/>
              </w:rPr>
            </w:pPr>
            <w:r>
              <w:rPr>
                <w:b/>
              </w:rPr>
              <w:t>Total bank borrowings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730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before="0" w:after="283"/>
              <w:jc w:val="left"/>
              <w:rPr>
                <w:b/>
              </w:rPr>
            </w:pPr>
            <w:r>
              <w:rPr>
                <w:b/>
              </w:rPr>
              <w:t>15</w:t>
            </w:r>
          </w:p>
        </w:tc>
        <w:tc>
          <w:tcPr>
            <w:tcW w:w="2420" w:type="dxa"/>
            <w:tcBorders/>
            <w:vAlign w:val="center"/>
          </w:tcPr>
          <w:p>
            <w:pPr>
              <w:pStyle w:val="TableContents"/>
              <w:bidi w:val="0"/>
              <w:spacing w:before="0" w:after="283"/>
              <w:jc w:val="both"/>
              <w:rPr/>
            </w:pPr>
            <w:r>
              <w:rPr>
                <w:b/>
              </w:rPr>
              <w:t>BORROWINGS</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57"/>
        <w:gridCol w:w="9510"/>
      </w:tblGrid>
      <w:tr>
        <w:trPr/>
        <w:tc>
          <w:tcPr>
            <w:tcW w:w="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Term loan I:</w:t>
            </w:r>
          </w:p>
        </w:tc>
        <w:tc>
          <w:tcPr>
            <w:tcW w:w="9510" w:type="dxa"/>
            <w:tcBorders/>
            <w:vAlign w:val="center"/>
          </w:tcPr>
          <w:p>
            <w:pPr>
              <w:pStyle w:val="TableContents"/>
              <w:bidi w:val="0"/>
              <w:spacing w:before="0" w:after="283"/>
              <w:jc w:val="both"/>
              <w:rPr/>
            </w:pPr>
            <w:r>
              <w:rPr/>
              <w:t>The Company entered into a banking facility amounting to USD906,000 (equivalent to approximately RM4,254,000) on November 5, 2021, with an effective interest rate of BLR + 1.15% (June 30, 2024: BLR + 1.15%) per annum over the bank prevailing 1,3,6,9 or 12 months’ effective Cost Of Funds (COF) on monthly rests and repayable over 53 month in equal monthly installments of approximately USD9,000 (equivalent to approximately RM41,000).</w:t>
            </w:r>
          </w:p>
        </w:tc>
      </w:tr>
    </w:tbl>
    <w:p>
      <w:pPr>
        <w:pStyle w:val="TextBody"/>
        <w:bidi w:val="0"/>
        <w:spacing w:before="0" w:after="0"/>
        <w:ind w:left="22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a)</w:t>
            </w:r>
          </w:p>
        </w:tc>
        <w:tc>
          <w:tcPr>
            <w:tcW w:w="9998" w:type="dxa"/>
            <w:tcBorders/>
            <w:vAlign w:val="center"/>
          </w:tcPr>
          <w:p>
            <w:pPr>
              <w:pStyle w:val="TableContents"/>
              <w:bidi w:val="0"/>
              <w:spacing w:before="0" w:after="283"/>
              <w:jc w:val="both"/>
              <w:rPr/>
            </w:pPr>
            <w:r>
              <w:rPr/>
              <w:t>A personal guarantees from Wong Kok Seng and Salim Podiono amounting to a total of approximately USD4,691,000 (equivalent to approximately RM22,016,000);</w:t>
            </w:r>
          </w:p>
        </w:tc>
      </w:tr>
    </w:tbl>
    <w:p>
      <w:pPr>
        <w:pStyle w:val="TextBody"/>
        <w:bidi w:val="0"/>
        <w:spacing w:before="0" w:after="0"/>
        <w:ind w:left="22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 life insurance policy for directors and key employees of the group amounting to a total of approximately USD155,000 (equivalent to approximately RM727,000); and</w:t>
            </w:r>
          </w:p>
        </w:tc>
      </w:tr>
    </w:tbl>
    <w:p>
      <w:pPr>
        <w:pStyle w:val="TextBody"/>
        <w:bidi w:val="0"/>
        <w:spacing w:before="0" w:after="0"/>
        <w:ind w:left="2280" w:right="0" w:hanging="48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0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both"/>
              <w:rPr/>
            </w:pPr>
            <w:r>
              <w:rPr/>
              <w:t>A leasehold land and buildings as disclosed in Note 5 to the consolidated financial statements.</w:t>
            </w:r>
          </w:p>
        </w:tc>
      </w:tr>
    </w:tbl>
    <w:p>
      <w:pPr>
        <w:pStyle w:val="TextBody"/>
        <w:bidi w:val="0"/>
        <w:spacing w:before="0" w:after="0"/>
        <w:ind w:left="2280" w:right="0" w:hanging="48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215"/>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d)</w:t>
            </w:r>
          </w:p>
        </w:tc>
        <w:tc>
          <w:tcPr>
            <w:tcW w:w="8345" w:type="dxa"/>
            <w:tcBorders/>
            <w:vAlign w:val="center"/>
          </w:tcPr>
          <w:p>
            <w:pPr>
              <w:pStyle w:val="TableContents"/>
              <w:bidi w:val="0"/>
              <w:spacing w:before="0" w:after="283"/>
              <w:jc w:val="both"/>
              <w:rPr/>
            </w:pPr>
            <w:r>
              <w:rPr/>
              <w:t>A fixed deposit pledged as disclosed in Note 12 to the consolidated financial statements.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known as “Term Loan General Collaterals”)</w:t>
      </w:r>
    </w:p>
    <w:p>
      <w:pPr>
        <w:pStyle w:val="TextBody"/>
        <w:bidi w:val="0"/>
        <w:spacing w:before="0" w:after="0"/>
        <w:ind w:left="1800" w:right="0" w:hanging="13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80"/>
        <w:gridCol w:w="9487"/>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Term loan II:</w:t>
            </w:r>
          </w:p>
        </w:tc>
        <w:tc>
          <w:tcPr>
            <w:tcW w:w="9487" w:type="dxa"/>
            <w:tcBorders/>
            <w:vAlign w:val="center"/>
          </w:tcPr>
          <w:p>
            <w:pPr>
              <w:pStyle w:val="TableContents"/>
              <w:bidi w:val="0"/>
              <w:spacing w:before="0" w:after="283"/>
              <w:jc w:val="both"/>
              <w:rPr/>
            </w:pPr>
            <w:r>
              <w:rPr/>
              <w:t>The Company entered into a banking facility amounting to USD107,000 (equivalent to approximately RM500,000) on July 5, 2021, with an effective interest rate of BLR + 1.25% (June 30, 2024: BLR + 1.25%) per annum over the bank prevailing 1,3,6,9 or 12 months’ effective Cost Of Funds (COF) on monthly rests and repayable over 53 month in equal monthly installments of USD2,000 (equivalent to approximately RM9,300).</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secured by Term Loan General Collaterals.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loans repayable after one year which are classified as current liabilities that are subject to repayment on demand clauses are not expected to be settled within one year.</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up to date with the scheduled repayments of the term loans and does not consider it probable that the banks will exercise its discretion to demand repayment for so long as the Company continues to meet the requirements.</w:t>
      </w:r>
    </w:p>
    <w:p>
      <w:pPr>
        <w:pStyle w:val="TextBody"/>
        <w:bidi w:val="0"/>
        <w:spacing w:before="0" w:after="0"/>
        <w:ind w:left="960" w:right="0" w:hanging="48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1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2300" w:type="dxa"/>
            <w:tcBorders/>
            <w:vAlign w:val="center"/>
          </w:tcPr>
          <w:p>
            <w:pPr>
              <w:pStyle w:val="TableContents"/>
              <w:bidi w:val="0"/>
              <w:spacing w:before="0" w:after="283"/>
              <w:jc w:val="both"/>
              <w:rPr/>
            </w:pPr>
            <w:r>
              <w:rPr/>
              <w:t>Other bank borrowings:</w:t>
            </w:r>
          </w:p>
        </w:tc>
      </w:tr>
    </w:tbl>
    <w:p>
      <w:pPr>
        <w:pStyle w:val="TextBody"/>
        <w:bidi w:val="0"/>
        <w:spacing w:before="0" w:after="0"/>
        <w:ind w:left="960" w:right="0" w:hanging="480"/>
        <w:jc w:val="both"/>
        <w:rPr>
          <w:caps w:val="false"/>
          <w:smallCaps w:val="false"/>
        </w:rPr>
      </w:pPr>
      <w:r>
        <w:rPr>
          <w:caps w:val="false"/>
          <w:smallCaps w:val="false"/>
        </w:rPr>
        <w:t> </w:t>
      </w:r>
    </w:p>
    <w:tbl>
      <w:tblPr>
        <w:tblW w:w="4888" w:type="dxa"/>
        <w:jc w:val="left"/>
        <w:tblInd w:w="0" w:type="dxa"/>
        <w:tblLayout w:type="fixed"/>
        <w:tblCellMar>
          <w:top w:w="0" w:type="dxa"/>
          <w:left w:w="0" w:type="dxa"/>
          <w:bottom w:w="0" w:type="dxa"/>
          <w:right w:w="0" w:type="dxa"/>
        </w:tblCellMar>
      </w:tblPr>
      <w:tblGrid>
        <w:gridCol w:w="2735"/>
        <w:gridCol w:w="60"/>
        <w:gridCol w:w="128"/>
        <w:gridCol w:w="821"/>
        <w:gridCol w:w="60"/>
        <w:gridCol w:w="60"/>
        <w:gridCol w:w="128"/>
        <w:gridCol w:w="821"/>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Banker acceptance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178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Trust receipts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192</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Total other bank borrowings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370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Banker acceptances amounting to USD178,000 (2024: USD534,000) are repayable on demand with a maximum tenor of up to 119 days (2024: 120 days). It bears interest between 5.16% and 5.32% (2024: 3.32% and 5.18%) per annum.</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receipts amounting to USD192,000 (2024: USD15,000) are repayable on demand with a maximum tenor of up to 174 days (2024: 184 days). It bears interest at 10.25% (2024: 10.25%) per annum.</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bank borrowings were secured by the Term Loan General Collaterals.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before="0" w:after="283"/>
              <w:jc w:val="left"/>
              <w:rPr>
                <w:b/>
              </w:rPr>
            </w:pPr>
            <w:r>
              <w:rPr>
                <w:b/>
              </w:rPr>
              <w:t>15</w:t>
            </w:r>
          </w:p>
        </w:tc>
        <w:tc>
          <w:tcPr>
            <w:tcW w:w="2420" w:type="dxa"/>
            <w:tcBorders/>
            <w:vAlign w:val="center"/>
          </w:tcPr>
          <w:p>
            <w:pPr>
              <w:pStyle w:val="TableContents"/>
              <w:bidi w:val="0"/>
              <w:spacing w:before="0" w:after="283"/>
              <w:jc w:val="both"/>
              <w:rPr/>
            </w:pPr>
            <w:r>
              <w:rPr>
                <w:b/>
              </w:rPr>
              <w:t>BORROWINGS</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The maturity dates for the Group’s outstanding bank borrowings as of June 30, 2024 and 2025 are as follows:</w:t>
            </w:r>
          </w:p>
        </w:tc>
      </w:tr>
    </w:tbl>
    <w:p>
      <w:pPr>
        <w:pStyle w:val="TextBody"/>
        <w:bidi w:val="0"/>
        <w:spacing w:before="0" w:after="0"/>
        <w:ind w:left="960" w:right="0" w:hanging="480"/>
        <w:jc w:val="both"/>
        <w:rPr>
          <w:caps w:val="false"/>
          <w:smallCaps w:val="false"/>
        </w:rPr>
      </w:pPr>
      <w:r>
        <w:rPr>
          <w:caps w:val="false"/>
          <w:smallCaps w:val="false"/>
        </w:rPr>
        <w:t> </w:t>
      </w:r>
    </w:p>
    <w:tbl>
      <w:tblPr>
        <w:tblW w:w="8697" w:type="dxa"/>
        <w:jc w:val="left"/>
        <w:tblInd w:w="0" w:type="dxa"/>
        <w:tblLayout w:type="fixed"/>
        <w:tblCellMar>
          <w:top w:w="0" w:type="dxa"/>
          <w:left w:w="0" w:type="dxa"/>
          <w:bottom w:w="0" w:type="dxa"/>
          <w:right w:w="0" w:type="dxa"/>
        </w:tblCellMar>
      </w:tblPr>
      <w:tblGrid>
        <w:gridCol w:w="2825"/>
        <w:gridCol w:w="60"/>
        <w:gridCol w:w="128"/>
        <w:gridCol w:w="821"/>
        <w:gridCol w:w="60"/>
        <w:gridCol w:w="60"/>
        <w:gridCol w:w="150"/>
        <w:gridCol w:w="950"/>
        <w:gridCol w:w="60"/>
        <w:gridCol w:w="60"/>
        <w:gridCol w:w="150"/>
        <w:gridCol w:w="950"/>
        <w:gridCol w:w="60"/>
        <w:gridCol w:w="60"/>
        <w:gridCol w:w="156"/>
        <w:gridCol w:w="1003"/>
        <w:gridCol w:w="60"/>
        <w:gridCol w:w="60"/>
        <w:gridCol w:w="91"/>
        <w:gridCol w:w="858"/>
        <w:gridCol w:w="75"/>
      </w:tblGrid>
      <w:tr>
        <w:trPr/>
        <w:tc>
          <w:tcPr>
            <w:tcW w:w="282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Within 1</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 2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 – 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More than </w:t>
              <w:br/>
              <w: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ind w:left="0" w:right="0" w:hanging="180"/>
              <w:jc w:val="left"/>
              <w:rPr/>
            </w:pPr>
            <w:r>
              <w:rPr/>
              <w:t> </w:t>
            </w:r>
          </w:p>
        </w:tc>
      </w:tr>
      <w:tr>
        <w:trPr/>
        <w:tc>
          <w:tcPr>
            <w:tcW w:w="2825" w:type="dxa"/>
            <w:tcBorders/>
            <w:vAlign w:val="center"/>
          </w:tcPr>
          <w:p>
            <w:pPr>
              <w:pStyle w:val="TableContents"/>
              <w:bidi w:val="0"/>
              <w:spacing w:before="0" w:after="283"/>
              <w:jc w:val="left"/>
              <w:rPr>
                <w:b/>
              </w:rPr>
            </w:pPr>
            <w:r>
              <w:rPr>
                <w:b/>
              </w:rPr>
              <w:t>Balance as of June 30, 2025</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Banker acceptance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178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shd w:fill="FFFFFF" w:val="clear"/>
            <w:vAlign w:val="center"/>
          </w:tcPr>
          <w:p>
            <w:pPr>
              <w:pStyle w:val="TableContents"/>
              <w:bidi w:val="0"/>
              <w:spacing w:before="0" w:after="283"/>
              <w:jc w:val="left"/>
              <w:rPr/>
            </w:pPr>
            <w:r>
              <w:rPr/>
              <w:t>Trust receipts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center"/>
          </w:tcPr>
          <w:p>
            <w:pPr>
              <w:pStyle w:val="TableContents"/>
              <w:bidi w:val="0"/>
              <w:spacing w:before="0" w:after="283"/>
              <w:jc w:val="right"/>
              <w:rPr/>
            </w:pPr>
            <w:r>
              <w:rPr/>
              <w:t>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double" w:sz="10" w:space="0" w:color="000000"/>
            </w:tcBorders>
            <w:shd w:fill="FFFFFF" w:val="clear"/>
            <w:tcMar>
              <w:bottom w:w="28" w:type="dxa"/>
            </w:tcMar>
            <w:vAlign w:val="center"/>
          </w:tcPr>
          <w:p>
            <w:pPr>
              <w:pStyle w:val="TableContents"/>
              <w:bidi w:val="0"/>
              <w:spacing w:before="0" w:after="283"/>
              <w:jc w:val="right"/>
              <w:rPr/>
            </w:pPr>
            <w:r>
              <w:rPr/>
              <w:t>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1,100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shd w:fill="FFFFFF" w:val="clear"/>
            <w:vAlign w:val="center"/>
          </w:tcPr>
          <w:p>
            <w:pPr>
              <w:pStyle w:val="TableContents"/>
              <w:bidi w:val="0"/>
              <w:spacing w:before="0" w:after="283"/>
              <w:jc w:val="left"/>
              <w:rPr>
                <w:b/>
              </w:rPr>
            </w:pPr>
            <w:r>
              <w:rPr>
                <w:b/>
              </w:rPr>
              <w:t>Balance as of June 30, 2024</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Banker acceptance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534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shd w:fill="FFFFFF" w:val="clear"/>
            <w:vAlign w:val="center"/>
          </w:tcPr>
          <w:p>
            <w:pPr>
              <w:pStyle w:val="TableContents"/>
              <w:bidi w:val="0"/>
              <w:spacing w:before="0" w:after="283"/>
              <w:jc w:val="left"/>
              <w:rPr/>
            </w:pPr>
            <w:r>
              <w:rPr/>
              <w:t>Trust receipts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double" w:sz="10" w:space="0" w:color="000000"/>
            </w:tcBorders>
            <w:shd w:fill="FFFFFF" w:val="clear"/>
            <w:tcMar>
              <w:bottom w:w="28" w:type="dxa"/>
            </w:tcMar>
            <w:vAlign w:val="center"/>
          </w:tcPr>
          <w:p>
            <w:pPr>
              <w:pStyle w:val="TableContents"/>
              <w:bidi w:val="0"/>
              <w:spacing w:before="0" w:after="283"/>
              <w:jc w:val="right"/>
              <w:rPr/>
            </w:pPr>
            <w:r>
              <w:rPr/>
              <w:t>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1,297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9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585" w:type="dxa"/>
            <w:tcBorders/>
            <w:vAlign w:val="center"/>
          </w:tcPr>
          <w:p>
            <w:pPr>
              <w:pStyle w:val="TableContents"/>
              <w:bidi w:val="0"/>
              <w:spacing w:before="0" w:after="283"/>
              <w:jc w:val="both"/>
              <w:rPr/>
            </w:pPr>
            <w:r>
              <w:rPr/>
              <w:t>Reconciliation of liabilities arising from financing activities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details changes in borrowings of the Group arising from financing activities, including both cash and non-cash changes. Borrowings arising from financing activities are those for which cash flows were, or future cash flows will be, classified in the statements of cash flows of the Group as cash flows from financing activities.</w:t>
      </w:r>
    </w:p>
    <w:p>
      <w:pPr>
        <w:pStyle w:val="TextBody"/>
        <w:bidi w:val="0"/>
        <w:spacing w:before="0" w:after="0"/>
        <w:ind w:left="720" w:right="0" w:hanging="0"/>
        <w:jc w:val="both"/>
        <w:rPr>
          <w:caps w:val="false"/>
          <w:smallCaps w:val="false"/>
        </w:rPr>
      </w:pPr>
      <w:r>
        <w:rPr>
          <w:caps w:val="false"/>
          <w:smallCaps w:val="false"/>
        </w:rPr>
        <w:t> </w:t>
      </w:r>
    </w:p>
    <w:tbl>
      <w:tblPr>
        <w:tblW w:w="8421" w:type="dxa"/>
        <w:jc w:val="left"/>
        <w:tblInd w:w="0" w:type="dxa"/>
        <w:tblLayout w:type="fixed"/>
        <w:tblCellMar>
          <w:top w:w="0" w:type="dxa"/>
          <w:left w:w="0" w:type="dxa"/>
          <w:bottom w:w="0" w:type="dxa"/>
          <w:right w:w="0" w:type="dxa"/>
        </w:tblCellMar>
      </w:tblPr>
      <w:tblGrid>
        <w:gridCol w:w="2825"/>
        <w:gridCol w:w="60"/>
        <w:gridCol w:w="91"/>
        <w:gridCol w:w="858"/>
        <w:gridCol w:w="60"/>
        <w:gridCol w:w="60"/>
        <w:gridCol w:w="177"/>
        <w:gridCol w:w="772"/>
        <w:gridCol w:w="60"/>
        <w:gridCol w:w="60"/>
        <w:gridCol w:w="109"/>
        <w:gridCol w:w="840"/>
        <w:gridCol w:w="95"/>
        <w:gridCol w:w="60"/>
        <w:gridCol w:w="152"/>
        <w:gridCol w:w="963"/>
        <w:gridCol w:w="95"/>
        <w:gridCol w:w="60"/>
        <w:gridCol w:w="91"/>
        <w:gridCol w:w="858"/>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w:t>
              <w:br/>
              <w:t>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Cash</w:t>
              <w:br/>
              <w:t>flows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Exchange</w:t>
              <w:br/>
              <w:t>differences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b/>
              </w:rPr>
            </w:pPr>
            <w:r>
              <w:rPr>
                <w:b/>
              </w:rPr>
              <w:t>Balance as of June 30, 2025</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Banker acceptance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(416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178</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Trust receipts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192</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Term loan</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(138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730</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FFFFFF" w:val="clear"/>
            <w:tcMar>
              <w:bottom w:w="28" w:type="dxa"/>
            </w:tcMar>
            <w:vAlign w:val="center"/>
          </w:tcPr>
          <w:p>
            <w:pPr>
              <w:pStyle w:val="TableContents"/>
              <w:bidi w:val="0"/>
              <w:spacing w:before="0" w:after="283"/>
              <w:jc w:val="right"/>
              <w:rPr/>
            </w:pPr>
            <w:r>
              <w:rPr/>
              <w:t>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double" w:sz="10" w:space="0" w:color="000000"/>
            </w:tcBorders>
            <w:shd w:fill="FFFFFF" w:val="clear"/>
            <w:tcMar>
              <w:bottom w:w="28" w:type="dxa"/>
            </w:tcMar>
            <w:vAlign w:val="center"/>
          </w:tcPr>
          <w:p>
            <w:pPr>
              <w:pStyle w:val="TableContents"/>
              <w:bidi w:val="0"/>
              <w:spacing w:before="0" w:after="283"/>
              <w:jc w:val="right"/>
              <w:rPr/>
            </w:pPr>
            <w:r>
              <w:rPr/>
              <w:t>(408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pPr>
            <w:r>
              <w:rPr/>
              <w:t>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1,100</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b/>
              </w:rPr>
            </w:pPr>
            <w:r>
              <w:rPr>
                <w:b/>
              </w:rPr>
              <w:t>Balance as of June 30, 2024</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Banker acceptance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534</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Trust receipts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Term loan</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748</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FFFFFF" w:val="clear"/>
            <w:tcMar>
              <w:bottom w:w="28" w:type="dxa"/>
            </w:tcMar>
            <w:vAlign w:val="center"/>
          </w:tcPr>
          <w:p>
            <w:pPr>
              <w:pStyle w:val="TableContents"/>
              <w:bidi w:val="0"/>
              <w:spacing w:before="0" w:after="283"/>
              <w:jc w:val="right"/>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double" w:sz="10" w:space="0" w:color="000000"/>
            </w:tcBorders>
            <w:shd w:fill="FFFFFF" w:val="clear"/>
            <w:tcMar>
              <w:bottom w:w="28" w:type="dxa"/>
            </w:tcM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1,297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283"/>
              <w:jc w:val="both"/>
              <w:rPr/>
            </w:pPr>
            <w:r>
              <w:rPr/>
              <w:t>At the end of the reporting period, if interest rates had been 50 basis points lower/higher, with all other variables held constant, the Group’s (loss)/profit net of tax would have been approximately USD55,000 (2024: USD65,000) higher/lower, arising mainly as a result of lower/higher interest expense on bank borrowings. The assumed movement in basis points for interest rate sensitivity analysis is based on the currently observable market environment.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0" w:type="dxa"/>
            <w:tcBorders/>
            <w:vAlign w:val="center"/>
          </w:tcPr>
          <w:p>
            <w:pPr>
              <w:pStyle w:val="TableContents"/>
              <w:bidi w:val="0"/>
              <w:spacing w:before="0" w:after="283"/>
              <w:jc w:val="both"/>
              <w:rPr/>
            </w:pPr>
            <w:r>
              <w:rPr/>
              <w:t>As of June 30, 2025, the Company has undrawn committed banking facilities of approximately USD2.33 million (2024: USD3.69 million) in respect of which all conditions precedent had been met.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75"/>
        <w:gridCol w:w="4655"/>
      </w:tblGrid>
      <w:tr>
        <w:trPr/>
        <w:tc>
          <w:tcPr>
            <w:tcW w:w="275" w:type="dxa"/>
            <w:tcBorders/>
            <w:vAlign w:val="center"/>
          </w:tcPr>
          <w:p>
            <w:pPr>
              <w:pStyle w:val="TableContents"/>
              <w:bidi w:val="0"/>
              <w:spacing w:before="0" w:after="283"/>
              <w:jc w:val="left"/>
              <w:rPr>
                <w:b/>
              </w:rPr>
            </w:pPr>
            <w:r>
              <w:rPr>
                <w:b/>
              </w:rPr>
              <w:t>16</w:t>
            </w:r>
          </w:p>
        </w:tc>
        <w:tc>
          <w:tcPr>
            <w:tcW w:w="4655" w:type="dxa"/>
            <w:tcBorders/>
            <w:vAlign w:val="center"/>
          </w:tcPr>
          <w:p>
            <w:pPr>
              <w:pStyle w:val="TableContents"/>
              <w:bidi w:val="0"/>
              <w:spacing w:before="0" w:after="283"/>
              <w:jc w:val="both"/>
              <w:rPr>
                <w:b/>
              </w:rPr>
            </w:pPr>
            <w:r>
              <w:rPr>
                <w:b/>
              </w:rPr>
              <w:t>AMOUNTS DUE TO RELATED PARTIES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represent unsecured advances for working capital management from directors of the Company and a subsidiary, which are non-interest bearing and repayable within the next twelve (12) months.</w:t>
      </w:r>
    </w:p>
    <w:p>
      <w:pPr>
        <w:pStyle w:val="TextBody"/>
        <w:bidi w:val="0"/>
        <w:spacing w:before="0" w:after="0"/>
        <w:ind w:left="480" w:right="0" w:hanging="48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75"/>
        <w:gridCol w:w="4355"/>
      </w:tblGrid>
      <w:tr>
        <w:trPr/>
        <w:tc>
          <w:tcPr>
            <w:tcW w:w="275" w:type="dxa"/>
            <w:tcBorders/>
            <w:vAlign w:val="center"/>
          </w:tcPr>
          <w:p>
            <w:pPr>
              <w:pStyle w:val="TableContents"/>
              <w:bidi w:val="0"/>
              <w:spacing w:before="0" w:after="283"/>
              <w:jc w:val="left"/>
              <w:rPr>
                <w:b/>
              </w:rPr>
            </w:pPr>
            <w:r>
              <w:rPr>
                <w:b/>
              </w:rPr>
              <w:t>17</w:t>
            </w:r>
          </w:p>
        </w:tc>
        <w:tc>
          <w:tcPr>
            <w:tcW w:w="4355" w:type="dxa"/>
            <w:tcBorders/>
            <w:vAlign w:val="center"/>
          </w:tcPr>
          <w:p>
            <w:pPr>
              <w:pStyle w:val="TableContents"/>
              <w:bidi w:val="0"/>
              <w:spacing w:before="0" w:after="283"/>
              <w:jc w:val="both"/>
              <w:rPr>
                <w:b/>
              </w:rPr>
            </w:pPr>
            <w:r>
              <w:rPr>
                <w:b/>
              </w:rPr>
              <w:t>AMOUNTS DUE TO SHAREHOLDERS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shareholders represent unsecured advances for working capital management including offering costs, which are non-interest bearing and repayable within the next twelve (12) months.</w:t>
      </w:r>
    </w:p>
    <w:p>
      <w:pPr>
        <w:pStyle w:val="TextBody"/>
        <w:bidi w:val="0"/>
        <w:spacing w:before="0" w:after="0"/>
        <w:ind w:left="480" w:right="0" w:hanging="48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75"/>
        <w:gridCol w:w="5450"/>
      </w:tblGrid>
      <w:tr>
        <w:trPr/>
        <w:tc>
          <w:tcPr>
            <w:tcW w:w="275" w:type="dxa"/>
            <w:tcBorders/>
            <w:vAlign w:val="center"/>
          </w:tcPr>
          <w:p>
            <w:pPr>
              <w:pStyle w:val="TableContents"/>
              <w:bidi w:val="0"/>
              <w:spacing w:before="0" w:after="283"/>
              <w:jc w:val="left"/>
              <w:rPr>
                <w:b/>
              </w:rPr>
            </w:pPr>
            <w:r>
              <w:rPr>
                <w:b/>
              </w:rPr>
              <w:t>18</w:t>
            </w:r>
          </w:p>
        </w:tc>
        <w:tc>
          <w:tcPr>
            <w:tcW w:w="5450" w:type="dxa"/>
            <w:tcBorders/>
            <w:vAlign w:val="center"/>
          </w:tcPr>
          <w:p>
            <w:pPr>
              <w:pStyle w:val="TableContents"/>
              <w:bidi w:val="0"/>
              <w:spacing w:before="0" w:after="283"/>
              <w:jc w:val="both"/>
              <w:rPr>
                <w:b/>
              </w:rPr>
            </w:pPr>
            <w:r>
              <w:rPr>
                <w:b/>
              </w:rPr>
              <w:t>POST-EMPLOYMENT BENEFIT OBLIGATIONS</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2"/>
        <w:gridCol w:w="60"/>
        <w:gridCol w:w="118"/>
        <w:gridCol w:w="758"/>
        <w:gridCol w:w="95"/>
        <w:gridCol w:w="60"/>
        <w:gridCol w:w="118"/>
        <w:gridCol w:w="758"/>
        <w:gridCol w:w="95"/>
        <w:gridCol w:w="60"/>
        <w:gridCol w:w="118"/>
        <w:gridCol w:w="758"/>
        <w:gridCol w:w="105"/>
      </w:tblGrid>
      <w:tr>
        <w:trPr/>
        <w:tc>
          <w:tcPr>
            <w:tcW w:w="710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ind w:left="0" w:right="0" w:hanging="180"/>
              <w:jc w:val="left"/>
              <w:rPr/>
            </w:pPr>
            <w:r>
              <w:rPr/>
              <w:t> </w:t>
            </w:r>
          </w:p>
        </w:tc>
      </w:tr>
      <w:tr>
        <w:trPr/>
        <w:tc>
          <w:tcPr>
            <w:tcW w:w="7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vAlign w:val="center"/>
          </w:tcPr>
          <w:p>
            <w:pPr>
              <w:pStyle w:val="TableContents"/>
              <w:bidi w:val="0"/>
              <w:spacing w:before="0" w:after="283"/>
              <w:jc w:val="center"/>
              <w:rPr>
                <w:b/>
              </w:rPr>
            </w:pPr>
            <w:r>
              <w:rPr>
                <w:b/>
              </w:rPr>
              <w:t>USD’000</w:t>
            </w:r>
          </w:p>
        </w:tc>
        <w:tc>
          <w:tcPr>
            <w:tcW w:w="105" w:type="dxa"/>
            <w:tcBorders/>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pPr>
            <w:r>
              <w:rPr/>
              <w:t>At 1 July</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330</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02" w:type="dxa"/>
            <w:tcBorders/>
            <w:shd w:fill="FFFFFF" w:val="clear"/>
            <w:vAlign w:val="center"/>
          </w:tcPr>
          <w:p>
            <w:pPr>
              <w:pStyle w:val="TableContents"/>
              <w:bidi w:val="0"/>
              <w:spacing w:before="0" w:after="283"/>
              <w:jc w:val="left"/>
              <w:rPr>
                <w:b/>
              </w:rPr>
            </w:pPr>
            <w:r>
              <w:rPr>
                <w:b/>
              </w:rPr>
              <w:t>Charged for the year recognized in profit or loss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pPr>
            <w:r>
              <w:rPr/>
              <w:t>Interest cost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24</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02" w:type="dxa"/>
            <w:tcBorders/>
            <w:shd w:fill="FFFFFF" w:val="clear"/>
            <w:vAlign w:val="center"/>
          </w:tcPr>
          <w:p>
            <w:pPr>
              <w:pStyle w:val="TableContents"/>
              <w:bidi w:val="0"/>
              <w:spacing w:before="0" w:after="283"/>
              <w:jc w:val="left"/>
              <w:rPr/>
            </w:pPr>
            <w:r>
              <w:rPr/>
              <w:t>Current service cost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36</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pPr>
            <w:r>
              <w:rPr/>
              <w:t>Past service cost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49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02" w:type="dxa"/>
            <w:tcBorders/>
            <w:shd w:fill="FFFFFF" w:val="clear"/>
            <w:vAlign w:val="center"/>
          </w:tcPr>
          <w:p>
            <w:pPr>
              <w:pStyle w:val="TableContents"/>
              <w:bidi w:val="0"/>
              <w:spacing w:before="0" w:after="283"/>
              <w:jc w:val="left"/>
              <w:rPr/>
            </w:pPr>
            <w:r>
              <w:rPr/>
              <w:t>Gain on settlement</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b/>
              </w:rPr>
            </w:pPr>
            <w:r>
              <w:rPr>
                <w:b/>
              </w:rPr>
              <w:t>Recognized in other comprehensive income:</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02" w:type="dxa"/>
            <w:tcBorders/>
            <w:shd w:fill="FFFFFF" w:val="clear"/>
            <w:vAlign w:val="center"/>
          </w:tcPr>
          <w:p>
            <w:pPr>
              <w:pStyle w:val="TableContents"/>
              <w:bidi w:val="0"/>
              <w:spacing w:before="0" w:after="283"/>
              <w:jc w:val="left"/>
              <w:rPr/>
            </w:pPr>
            <w:r>
              <w:rPr/>
              <w:t>Actuarial (loss)/gains arising from changes in assumption in respect of:</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pPr>
            <w:r>
              <w:rPr/>
              <w:t xml:space="preserve">– </w:t>
            </w:r>
            <w:r>
              <w:rPr/>
              <w:t>current year</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(66</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7102"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pPr>
            <w:r>
              <w:rPr/>
              <w:t>At 30 June</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350</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pPr>
            <w:r>
              <w:rPr/>
              <w:t>The amounts recognized on the statements of financial position are determined as follows: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02" w:type="dxa"/>
            <w:tcBorders/>
            <w:shd w:fill="FFFFFF" w:val="clear"/>
            <w:vAlign w:val="center"/>
          </w:tcPr>
          <w:p>
            <w:pPr>
              <w:pStyle w:val="TableContents"/>
              <w:bidi w:val="0"/>
              <w:spacing w:before="0" w:after="283"/>
              <w:jc w:val="left"/>
              <w:rPr/>
            </w:pPr>
            <w:r>
              <w:rPr/>
              <w:t>Present value of obligations</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350</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02" w:type="dxa"/>
            <w:tcBorders/>
            <w:shd w:fill="CCEEFF" w:val="clear"/>
            <w:vAlign w:val="center"/>
          </w:tcPr>
          <w:p>
            <w:pPr>
              <w:pStyle w:val="TableContents"/>
              <w:bidi w:val="0"/>
              <w:spacing w:before="0" w:after="283"/>
              <w:jc w:val="left"/>
              <w:rPr/>
            </w:pPr>
            <w:r>
              <w:rPr/>
              <w:t>Net liabilities</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350</w:t>
            </w:r>
          </w:p>
        </w:tc>
        <w:tc>
          <w:tcPr>
            <w:tcW w:w="1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The Group provides additional provisions for employee service entitlements in order to meet the minimum benefits required to be paid to qualified employees, as required under the Indonesian Labour Law No. 6/2023 (the “Labour Law”). The said additional provisions, which are unfunded, are estimated using actuarial calculations. The cost of providing benefits under the defined benefit plan is determined using the Projected Unit Credit method.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The Group’s obligation under the defined benefit plan is determined based on the actuarial valuations by an independent actuary who hold recognized and relevant professional qualification.</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Post-employment benefit obligations is categorized as Level 3 in the fair value hierarchy. There is no transfer between levels in the hierarchy during the financial year.</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283"/>
              <w:jc w:val="both"/>
              <w:rPr/>
            </w:pPr>
            <w:r>
              <w:rPr/>
              <w:t>Key assumptions used in the actuarial calculation at the end of the reporting period in respect of the Group’s defined benefit plans are as follows:</w:t>
            </w:r>
          </w:p>
        </w:tc>
      </w:tr>
    </w:tbl>
    <w:p>
      <w:pPr>
        <w:pStyle w:val="TextBody"/>
        <w:bidi w:val="0"/>
        <w:spacing w:before="0" w:after="283"/>
        <w:jc w:val="left"/>
        <w:rPr/>
      </w:pPr>
      <w:r>
        <w:rPr/>
        <w:t> </w:t>
      </w:r>
    </w:p>
    <w:tbl>
      <w:tblPr>
        <w:tblW w:w="5060" w:type="dxa"/>
        <w:jc w:val="left"/>
        <w:tblInd w:w="0" w:type="dxa"/>
        <w:tblLayout w:type="fixed"/>
        <w:tblCellMar>
          <w:top w:w="0" w:type="dxa"/>
          <w:left w:w="0" w:type="dxa"/>
          <w:bottom w:w="0" w:type="dxa"/>
          <w:right w:w="0" w:type="dxa"/>
        </w:tblCellMar>
      </w:tblPr>
      <w:tblGrid>
        <w:gridCol w:w="3185"/>
        <w:gridCol w:w="60"/>
        <w:gridCol w:w="60"/>
        <w:gridCol w:w="440"/>
        <w:gridCol w:w="60"/>
        <w:gridCol w:w="60"/>
        <w:gridCol w:w="60"/>
        <w:gridCol w:w="440"/>
        <w:gridCol w:w="60"/>
        <w:gridCol w:w="60"/>
        <w:gridCol w:w="60"/>
        <w:gridCol w:w="440"/>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6.93</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Expected increment rate of salary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275"/>
        <w:gridCol w:w="6125"/>
      </w:tblGrid>
      <w:tr>
        <w:trPr/>
        <w:tc>
          <w:tcPr>
            <w:tcW w:w="275" w:type="dxa"/>
            <w:tcBorders/>
            <w:vAlign w:val="center"/>
          </w:tcPr>
          <w:p>
            <w:pPr>
              <w:pStyle w:val="TableContents"/>
              <w:bidi w:val="0"/>
              <w:spacing w:before="0" w:after="283"/>
              <w:jc w:val="left"/>
              <w:rPr>
                <w:b/>
              </w:rPr>
            </w:pPr>
            <w:r>
              <w:rPr>
                <w:b/>
              </w:rPr>
              <w:t>18</w:t>
            </w:r>
          </w:p>
        </w:tc>
        <w:tc>
          <w:tcPr>
            <w:tcW w:w="6125" w:type="dxa"/>
            <w:tcBorders/>
            <w:vAlign w:val="center"/>
          </w:tcPr>
          <w:p>
            <w:pPr>
              <w:pStyle w:val="TableContents"/>
              <w:bidi w:val="0"/>
              <w:spacing w:before="0" w:after="283"/>
              <w:jc w:val="both"/>
              <w:rPr/>
            </w:pPr>
            <w:r>
              <w:rPr>
                <w:b/>
              </w:rPr>
              <w:t xml:space="preserve">POST-EMPLOYMENT BENEFIT OBLIGATIONS </w:t>
            </w:r>
            <w:r>
              <w:rPr/>
              <w:t>(cont.)</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3" w:type="dxa"/>
            <w:tcBorders/>
            <w:vAlign w:val="center"/>
          </w:tcPr>
          <w:p>
            <w:pPr>
              <w:pStyle w:val="TableContents"/>
              <w:bidi w:val="0"/>
              <w:spacing w:before="0" w:after="283"/>
              <w:jc w:val="both"/>
              <w:rPr/>
            </w:pPr>
            <w:r>
              <w:rPr/>
              <w:t>The sensitivity analysis below has been determined based on reasonably possible changes of each significant assumption on the defined benefit obligation as at the end of the reporting period, assuming if all other assumptions were held constant:</w:t>
            </w:r>
          </w:p>
        </w:tc>
      </w:tr>
    </w:tbl>
    <w:p>
      <w:pPr>
        <w:pStyle w:val="TextBody"/>
        <w:bidi w:val="0"/>
        <w:spacing w:before="0" w:after="283"/>
        <w:jc w:val="left"/>
        <w:rPr/>
      </w:pPr>
      <w:r>
        <w:rPr/>
        <w:t> </w:t>
      </w:r>
    </w:p>
    <w:tbl>
      <w:tblPr>
        <w:tblW w:w="7842" w:type="dxa"/>
        <w:jc w:val="left"/>
        <w:tblInd w:w="0" w:type="dxa"/>
        <w:tblLayout w:type="fixed"/>
        <w:tblCellMar>
          <w:top w:w="0" w:type="dxa"/>
          <w:left w:w="0" w:type="dxa"/>
          <w:bottom w:w="0" w:type="dxa"/>
          <w:right w:w="0" w:type="dxa"/>
        </w:tblCellMar>
      </w:tblPr>
      <w:tblGrid>
        <w:gridCol w:w="1295"/>
        <w:gridCol w:w="60"/>
        <w:gridCol w:w="60"/>
        <w:gridCol w:w="275"/>
        <w:gridCol w:w="215"/>
        <w:gridCol w:w="60"/>
        <w:gridCol w:w="276"/>
        <w:gridCol w:w="1543"/>
        <w:gridCol w:w="95"/>
        <w:gridCol w:w="60"/>
        <w:gridCol w:w="276"/>
        <w:gridCol w:w="1543"/>
        <w:gridCol w:w="95"/>
        <w:gridCol w:w="60"/>
        <w:gridCol w:w="276"/>
        <w:gridCol w:w="1543"/>
        <w:gridCol w:w="110"/>
      </w:tblGrid>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2023 </w:t>
              <w:br/>
              <w:t xml:space="preserve">Impact on </w:t>
              <w:br/>
              <w:t xml:space="preserve">post-employment </w:t>
              <w:br/>
              <w:t>benefit</w:t>
              <w:br/>
              <w:t xml:space="preserve">obligations </w:t>
              <w:br/>
              <w:t xml:space="preserve">Increase/ </w:t>
              <w:b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br/>
              <w:t xml:space="preserve">Impact on </w:t>
              <w:br/>
              <w:t xml:space="preserve">post-employment </w:t>
              <w:br/>
              <w:t xml:space="preserve">benefit </w:t>
              <w:br/>
              <w:t>obligations</w:t>
              <w:br/>
              <w:t xml:space="preserve">Increase/ </w:t>
              <w:br/>
              <w:t>(Decrease)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 xml:space="preserve">Impact on </w:t>
              <w:br/>
              <w:t xml:space="preserve">post-employment </w:t>
              <w:br/>
              <w:t xml:space="preserve">benefit </w:t>
              <w:br/>
              <w:t>obligations</w:t>
              <w:br/>
              <w:t xml:space="preserve">Increase/ </w:t>
              <w:br/>
              <w:t>(Decrease)</w:t>
            </w:r>
          </w:p>
        </w:tc>
        <w:tc>
          <w:tcPr>
            <w:tcW w:w="11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pPr>
            <w:r>
              <w:rPr/>
              <w:t>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w:t>
            </w:r>
            <w:r>
              <w:rPr/>
              <w:t>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pPr>
            <w:r>
              <w:rPr/>
              <w:t>Future salary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w:t>
            </w:r>
            <w:r>
              <w:rPr/>
              <w:t>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3"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3"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3"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80" w:right="0" w:hanging="48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75"/>
        <w:gridCol w:w="3545"/>
      </w:tblGrid>
      <w:tr>
        <w:trPr/>
        <w:tc>
          <w:tcPr>
            <w:tcW w:w="275" w:type="dxa"/>
            <w:tcBorders/>
            <w:vAlign w:val="center"/>
          </w:tcPr>
          <w:p>
            <w:pPr>
              <w:pStyle w:val="TableContents"/>
              <w:bidi w:val="0"/>
              <w:spacing w:before="0" w:after="283"/>
              <w:jc w:val="left"/>
              <w:rPr>
                <w:b/>
              </w:rPr>
            </w:pPr>
            <w:r>
              <w:rPr>
                <w:b/>
              </w:rPr>
              <w:t>19</w:t>
            </w:r>
          </w:p>
        </w:tc>
        <w:tc>
          <w:tcPr>
            <w:tcW w:w="3545" w:type="dxa"/>
            <w:tcBorders/>
            <w:vAlign w:val="center"/>
          </w:tcPr>
          <w:p>
            <w:pPr>
              <w:pStyle w:val="TableContents"/>
              <w:bidi w:val="0"/>
              <w:spacing w:before="0" w:after="283"/>
              <w:jc w:val="both"/>
              <w:rPr>
                <w:b/>
              </w:rPr>
            </w:pPr>
            <w:r>
              <w:rPr>
                <w:b/>
              </w:rPr>
              <w:t>DEFERRED TAX LIABILITIES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consisted of the following:</w:t>
      </w:r>
    </w:p>
    <w:p>
      <w:pPr>
        <w:pStyle w:val="TextBody"/>
        <w:bidi w:val="0"/>
        <w:spacing w:before="0" w:after="0"/>
        <w:ind w:left="720" w:right="0" w:hanging="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2750"/>
        <w:gridCol w:w="60"/>
        <w:gridCol w:w="175"/>
        <w:gridCol w:w="774"/>
        <w:gridCol w:w="95"/>
        <w:gridCol w:w="60"/>
        <w:gridCol w:w="175"/>
        <w:gridCol w:w="774"/>
        <w:gridCol w:w="75"/>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u w:val="single"/>
              </w:rPr>
            </w:pPr>
            <w:r>
              <w:rPr>
                <w:u w:val="single"/>
              </w:rPr>
              <w:t>Deferred tax liabilities</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i/>
                <w:u w:val="single"/>
              </w:rPr>
            </w:pPr>
            <w:r>
              <w:rPr>
                <w:i/>
                <w:u w:val="single"/>
              </w:rPr>
              <w:t>Accelerated tax depreciation</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At beginning of year</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77</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Exchange differences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At end of year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double" w:sz="10" w:space="0" w:color="000000"/>
            </w:tcBorders>
            <w:shd w:fill="CCEEFF" w:val="clear"/>
            <w:tcMar>
              <w:bottom w:w="28" w:type="dxa"/>
            </w:tcMar>
            <w:vAlign w:val="center"/>
          </w:tcPr>
          <w:p>
            <w:pPr>
              <w:pStyle w:val="TableContents"/>
              <w:bidi w:val="0"/>
              <w:spacing w:before="0" w:after="283"/>
              <w:jc w:val="right"/>
              <w:rPr/>
            </w:pPr>
            <w:r>
              <w:rPr/>
              <w:t>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double" w:sz="10" w:space="0" w:color="000000"/>
            </w:tcBorders>
            <w:shd w:fill="CCEEFF" w:val="clear"/>
            <w:tcMar>
              <w:bottom w:w="28" w:type="dxa"/>
            </w:tcMar>
            <w:vAlign w:val="center"/>
          </w:tcPr>
          <w:p>
            <w:pPr>
              <w:pStyle w:val="TableContents"/>
              <w:bidi w:val="0"/>
              <w:spacing w:before="0" w:after="283"/>
              <w:jc w:val="right"/>
              <w:rPr/>
            </w:pPr>
            <w:r>
              <w:rPr/>
              <w:t>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unutilized tax losses of approximately USD Nil (2024: USD182,000) available for offset against future profits, respectively. As of June 30, 2025, the unutilized tax losses can be carried forward up to 5 years. No deferred tax asset has been recognized in respect of the following significant net tax benefits due to the unpredictability of future profit streams.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 of unrecognized deferred tax asset is as follows:</w:t>
      </w:r>
    </w:p>
    <w:p>
      <w:pPr>
        <w:pStyle w:val="TextBody"/>
        <w:bidi w:val="0"/>
        <w:spacing w:before="0" w:after="0"/>
        <w:ind w:left="480" w:right="0" w:hanging="0"/>
        <w:jc w:val="both"/>
        <w:rPr>
          <w:caps w:val="false"/>
          <w:smallCaps w:val="false"/>
        </w:rPr>
      </w:pPr>
      <w:r>
        <w:rPr>
          <w:caps w:val="false"/>
          <w:smallCaps w:val="false"/>
        </w:rPr>
        <w:t> </w:t>
      </w:r>
    </w:p>
    <w:tbl>
      <w:tblPr>
        <w:tblW w:w="8873" w:type="dxa"/>
        <w:jc w:val="left"/>
        <w:tblInd w:w="0" w:type="dxa"/>
        <w:tblLayout w:type="fixed"/>
        <w:tblCellMar>
          <w:top w:w="0" w:type="dxa"/>
          <w:left w:w="0" w:type="dxa"/>
          <w:bottom w:w="0" w:type="dxa"/>
          <w:right w:w="0" w:type="dxa"/>
        </w:tblCellMar>
      </w:tblPr>
      <w:tblGrid>
        <w:gridCol w:w="6650"/>
        <w:gridCol w:w="60"/>
        <w:gridCol w:w="109"/>
        <w:gridCol w:w="840"/>
        <w:gridCol w:w="95"/>
        <w:gridCol w:w="60"/>
        <w:gridCol w:w="109"/>
        <w:gridCol w:w="840"/>
        <w:gridCol w:w="110"/>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u w:val="single"/>
              </w:rPr>
            </w:pPr>
            <w:r>
              <w:rPr>
                <w:u w:val="single"/>
              </w:rPr>
              <w:t>Unrecognized Deferred tax assets</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i/>
                <w:u w:val="single"/>
              </w:rPr>
            </w:pPr>
            <w:r>
              <w:rPr>
                <w:i/>
                <w:u w:val="single"/>
              </w:rPr>
              <w:t>Unutilized tax losses</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At beginning of year</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182</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Addition/(utilized) during the year, net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(439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(185</w:t>
            </w:r>
          </w:p>
        </w:tc>
        <w:tc>
          <w:tcPr>
            <w:tcW w:w="11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At end of year</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double" w:sz="10" w:space="0" w:color="000000"/>
            </w:tcBorders>
            <w:shd w:fill="FFFFFF" w:val="clear"/>
            <w:tcMar>
              <w:bottom w:w="28" w:type="dxa"/>
            </w:tcMar>
            <w:vAlign w:val="center"/>
          </w:tcPr>
          <w:p>
            <w:pPr>
              <w:pStyle w:val="TableContents"/>
              <w:bidi w:val="0"/>
              <w:spacing w:before="0" w:after="283"/>
              <w:jc w:val="right"/>
              <w:rPr/>
            </w:pPr>
            <w:r>
              <w:rPr/>
              <w:t>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pPr>
            <w:r>
              <w:rPr/>
              <w:t>Unrecorded deferred tax benefits at relevant corporate tax rate @ 22%</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75"/>
        <w:gridCol w:w="4220"/>
      </w:tblGrid>
      <w:tr>
        <w:trPr/>
        <w:tc>
          <w:tcPr>
            <w:tcW w:w="275" w:type="dxa"/>
            <w:tcBorders/>
            <w:vAlign w:val="center"/>
          </w:tcPr>
          <w:p>
            <w:pPr>
              <w:pStyle w:val="TableContents"/>
              <w:bidi w:val="0"/>
              <w:spacing w:before="0" w:after="283"/>
              <w:jc w:val="left"/>
              <w:rPr>
                <w:b/>
              </w:rPr>
            </w:pPr>
            <w:r>
              <w:rPr>
                <w:b/>
              </w:rPr>
              <w:t>19</w:t>
            </w:r>
          </w:p>
        </w:tc>
        <w:tc>
          <w:tcPr>
            <w:tcW w:w="4220" w:type="dxa"/>
            <w:tcBorders/>
            <w:vAlign w:val="center"/>
          </w:tcPr>
          <w:p>
            <w:pPr>
              <w:pStyle w:val="TableContents"/>
              <w:bidi w:val="0"/>
              <w:spacing w:before="0" w:after="283"/>
              <w:jc w:val="both"/>
              <w:rPr/>
            </w:pPr>
            <w:r>
              <w:rPr>
                <w:b/>
              </w:rPr>
              <w:t xml:space="preserve">DEFERRED TAX LIABILITIES </w:t>
            </w:r>
            <w:r>
              <w:rPr/>
              <w:t>(cont.)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The Group has not identified any uncertain tax positions requiring a reserve as of June 30, 2024 and 2025.</w:t>
      </w:r>
    </w:p>
    <w:p>
      <w:pPr>
        <w:pStyle w:val="TextBody"/>
        <w:bidi w:val="0"/>
        <w:spacing w:before="0" w:after="0"/>
        <w:ind w:left="48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75"/>
        <w:gridCol w:w="2045"/>
      </w:tblGrid>
      <w:tr>
        <w:trPr/>
        <w:tc>
          <w:tcPr>
            <w:tcW w:w="275" w:type="dxa"/>
            <w:tcBorders/>
            <w:vAlign w:val="center"/>
          </w:tcPr>
          <w:p>
            <w:pPr>
              <w:pStyle w:val="TableContents"/>
              <w:bidi w:val="0"/>
              <w:spacing w:before="0" w:after="283"/>
              <w:jc w:val="left"/>
              <w:rPr>
                <w:b/>
              </w:rPr>
            </w:pPr>
            <w:r>
              <w:rPr>
                <w:b/>
              </w:rPr>
              <w:t>20</w:t>
            </w:r>
          </w:p>
        </w:tc>
        <w:tc>
          <w:tcPr>
            <w:tcW w:w="2045" w:type="dxa"/>
            <w:tcBorders/>
            <w:vAlign w:val="center"/>
          </w:tcPr>
          <w:p>
            <w:pPr>
              <w:pStyle w:val="TableContents"/>
              <w:bidi w:val="0"/>
              <w:spacing w:before="0" w:after="283"/>
              <w:jc w:val="both"/>
              <w:rPr>
                <w:b/>
              </w:rPr>
            </w:pPr>
            <w:r>
              <w:rPr>
                <w:b/>
              </w:rPr>
              <w:t>SHARE CAPITAL</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4"/>
        <w:gridCol w:w="60"/>
        <w:gridCol w:w="60"/>
        <w:gridCol w:w="1100"/>
        <w:gridCol w:w="60"/>
        <w:gridCol w:w="60"/>
        <w:gridCol w:w="60"/>
        <w:gridCol w:w="980"/>
        <w:gridCol w:w="60"/>
        <w:gridCol w:w="60"/>
        <w:gridCol w:w="60"/>
        <w:gridCol w:w="1100"/>
        <w:gridCol w:w="60"/>
        <w:gridCol w:w="60"/>
        <w:gridCol w:w="72"/>
        <w:gridCol w:w="824"/>
        <w:gridCol w:w="60"/>
        <w:gridCol w:w="60"/>
        <w:gridCol w:w="72"/>
        <w:gridCol w:w="824"/>
        <w:gridCol w:w="79"/>
      </w:tblGrid>
      <w:tr>
        <w:trPr/>
        <w:tc>
          <w:tcPr>
            <w:tcW w:w="44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Class A </w:t>
              <w:br/>
              <w:t xml:space="preserve">ordinary </w:t>
              <w:b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Class B </w:t>
              <w:br/>
              <w:t xml:space="preserve">ordinary </w:t>
              <w:b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9" w:type="dxa"/>
            <w:tcBorders/>
            <w:vAlign w:val="center"/>
          </w:tcPr>
          <w:p>
            <w:pPr>
              <w:pStyle w:val="TableContents"/>
              <w:bidi w:val="0"/>
              <w:spacing w:before="0" w:after="283"/>
              <w:jc w:val="center"/>
              <w:rPr/>
            </w:pPr>
            <w:r>
              <w:rPr/>
              <w:t> </w:t>
            </w:r>
          </w:p>
        </w:tc>
      </w:tr>
      <w:tr>
        <w:trPr/>
        <w:tc>
          <w:tcPr>
            <w:tcW w:w="4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b/>
              </w:rPr>
            </w:pPr>
            <w:r>
              <w:rPr>
                <w:b/>
              </w:rPr>
              <w:t>USD’000</w:t>
            </w:r>
          </w:p>
        </w:tc>
        <w:tc>
          <w:tcPr>
            <w:tcW w:w="79" w:type="dxa"/>
            <w:tcBorders/>
            <w:vAlign w:val="center"/>
          </w:tcPr>
          <w:p>
            <w:pPr>
              <w:pStyle w:val="TableContents"/>
              <w:bidi w:val="0"/>
              <w:spacing w:before="0" w:after="283"/>
              <w:jc w:val="left"/>
              <w:rPr/>
            </w:pPr>
            <w:r>
              <w:rPr/>
              <w:t> </w:t>
            </w:r>
          </w:p>
        </w:tc>
      </w:tr>
      <w:tr>
        <w:trPr/>
        <w:tc>
          <w:tcPr>
            <w:tcW w:w="4434" w:type="dxa"/>
            <w:tcBorders/>
            <w:vAlign w:val="center"/>
          </w:tcPr>
          <w:p>
            <w:pPr>
              <w:pStyle w:val="TableContents"/>
              <w:bidi w:val="0"/>
              <w:spacing w:before="0" w:after="283"/>
              <w:jc w:val="left"/>
              <w:rPr>
                <w:b/>
              </w:rPr>
            </w:pPr>
            <w:r>
              <w:rPr>
                <w:b/>
              </w:rPr>
              <w:t>Paid up capital:</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360"/>
              <w:jc w:val="left"/>
              <w:rPr/>
            </w:pPr>
            <w:r>
              <w:rPr/>
              <w:t> </w:t>
            </w:r>
          </w:p>
        </w:tc>
      </w:tr>
      <w:tr>
        <w:trPr/>
        <w:tc>
          <w:tcPr>
            <w:tcW w:w="4434" w:type="dxa"/>
            <w:tcBorders/>
            <w:shd w:fill="CCEEFF" w:val="clear"/>
            <w:vAlign w:val="center"/>
          </w:tcPr>
          <w:p>
            <w:pPr>
              <w:pStyle w:val="TableContents"/>
              <w:bidi w:val="0"/>
              <w:spacing w:before="0" w:after="283"/>
              <w:jc w:val="left"/>
              <w:rPr/>
            </w:pPr>
            <w:r>
              <w:rPr/>
              <w:t>At beginning of the financial year/end of the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double" w:sz="10" w:space="0" w:color="000000"/>
            </w:tcBorders>
            <w:shd w:fill="CCEEFF" w:val="clear"/>
            <w:tcMar>
              <w:bottom w:w="28" w:type="dxa"/>
            </w:tcMar>
            <w:vAlign w:val="center"/>
          </w:tcPr>
          <w:p>
            <w:pPr>
              <w:pStyle w:val="TableContents"/>
              <w:bidi w:val="0"/>
              <w:spacing w:before="0" w:after="283"/>
              <w:jc w:val="right"/>
              <w:rPr/>
            </w:pPr>
            <w:r>
              <w:rPr/>
              <w:t>22,015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double" w:sz="10" w:space="0" w:color="000000"/>
            </w:tcBorders>
            <w:shd w:fill="CCEEFF" w:val="clear"/>
            <w:tcMar>
              <w:bottom w:w="28" w:type="dxa"/>
            </w:tcMar>
            <w:vAlign w:val="center"/>
          </w:tcPr>
          <w:p>
            <w:pPr>
              <w:pStyle w:val="TableContents"/>
              <w:bidi w:val="0"/>
              <w:spacing w:before="0" w:after="283"/>
              <w:jc w:val="right"/>
              <w:rPr/>
            </w:pPr>
            <w:r>
              <w:rPr/>
              <w:t>22,015</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the Company accepted the surrender of 3,750,000 Class A Shares (“Surrendered Shares”) at no consideration pursuant to Paragraph (1) of Section 37B of Part III of the Companies Act (As Revised) of the Cayman Islands and the Surrendered Shares have been cancelled upon surrendered. Following this, 15,000,000 Class A Shares and 5,000,000 Class B Shares remain issued and outstanding.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June 30, 2025, a subsidiary of the Company issued additional shares to the Company by way of a bonus issue amounting to approximately USD519,000. The bonus issue was distributed through a transfer from retained earnings to share capital, with no cash consideration. This transaction represents a reclassification in the “Merger Reserve” within Group’s equity. The merger reserve reflects the difference between the consideration transferred and the carrying amount of net assets acquired under the predecessor accounting method.</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A ordinary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have a par value of $0.0001 and are entitled to receive dividends as declared from time to time. Each Class A Share is entitled to one (1) vote at meetings of the Group.</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 B ordinary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have a par value of $0.0001 and not entitled to any dividends. Each Class B Share is entitled to twenty (20) votes at meetings of the Group.</w:t>
      </w:r>
    </w:p>
    <w:p>
      <w:pPr>
        <w:pStyle w:val="TextBody"/>
        <w:bidi w:val="0"/>
        <w:spacing w:before="0" w:after="0"/>
        <w:ind w:left="48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283"/>
              <w:jc w:val="left"/>
              <w:rPr>
                <w:b/>
              </w:rPr>
            </w:pPr>
            <w:r>
              <w:rPr>
                <w:b/>
              </w:rPr>
              <w:t>21</w:t>
            </w:r>
          </w:p>
        </w:tc>
        <w:tc>
          <w:tcPr>
            <w:tcW w:w="2270" w:type="dxa"/>
            <w:tcBorders/>
            <w:vAlign w:val="center"/>
          </w:tcPr>
          <w:p>
            <w:pPr>
              <w:pStyle w:val="TableContents"/>
              <w:bidi w:val="0"/>
              <w:spacing w:before="0" w:after="283"/>
              <w:jc w:val="both"/>
              <w:rPr>
                <w:b/>
              </w:rPr>
            </w:pPr>
            <w:r>
              <w:rPr>
                <w:b/>
              </w:rPr>
              <w:t>OTHER RESERVES</w:t>
            </w:r>
          </w:p>
        </w:tc>
      </w:tr>
    </w:tbl>
    <w:p>
      <w:pPr>
        <w:pStyle w:val="TextBody"/>
        <w:bidi w:val="0"/>
        <w:spacing w:before="0" w:after="0"/>
        <w:ind w:left="480" w:right="0" w:hanging="480"/>
        <w:jc w:val="both"/>
        <w:rPr>
          <w:caps w:val="false"/>
          <w:smallCaps w:val="false"/>
        </w:rPr>
      </w:pPr>
      <w:r>
        <w:rPr>
          <w:caps w:val="false"/>
          <w:smallCaps w:val="false"/>
        </w:rPr>
        <w:t> </w:t>
      </w:r>
    </w:p>
    <w:tbl>
      <w:tblPr>
        <w:tblW w:w="7003" w:type="dxa"/>
        <w:jc w:val="left"/>
        <w:tblInd w:w="0" w:type="dxa"/>
        <w:tblLayout w:type="fixed"/>
        <w:tblCellMar>
          <w:top w:w="0" w:type="dxa"/>
          <w:left w:w="0" w:type="dxa"/>
          <w:bottom w:w="0" w:type="dxa"/>
          <w:right w:w="0" w:type="dxa"/>
        </w:tblCellMar>
      </w:tblPr>
      <w:tblGrid>
        <w:gridCol w:w="4220"/>
        <w:gridCol w:w="60"/>
        <w:gridCol w:w="500"/>
        <w:gridCol w:w="60"/>
        <w:gridCol w:w="82"/>
        <w:gridCol w:w="867"/>
        <w:gridCol w:w="95"/>
        <w:gridCol w:w="60"/>
        <w:gridCol w:w="109"/>
        <w:gridCol w:w="840"/>
        <w:gridCol w:w="11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b/>
              </w:rPr>
            </w:pPr>
            <w:r>
              <w:rPr>
                <w:b/>
              </w:rPr>
              <w:t>Non-distributable: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Foreign currency translation reserve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(1,550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(828</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Post-employment benefit obligations reserve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FFFFFF" w:val="clear"/>
            <w:tcMar>
              <w:bottom w:w="28" w:type="dxa"/>
            </w:tcMar>
            <w:vAlign w:val="center"/>
          </w:tcPr>
          <w:p>
            <w:pPr>
              <w:pStyle w:val="TableContents"/>
              <w:bidi w:val="0"/>
              <w:spacing w:before="0" w:after="283"/>
              <w:jc w:val="right"/>
              <w:rPr/>
            </w:pPr>
            <w:r>
              <w:rPr/>
              <w:t>(98</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double" w:sz="10" w:space="0" w:color="000000"/>
            </w:tcBorders>
            <w:shd w:fill="CCEEFF" w:val="clear"/>
            <w:tcMar>
              <w:bottom w:w="28" w:type="dxa"/>
            </w:tcMar>
            <w:vAlign w:val="center"/>
          </w:tcPr>
          <w:p>
            <w:pPr>
              <w:pStyle w:val="TableContents"/>
              <w:bidi w:val="0"/>
              <w:spacing w:before="0" w:after="283"/>
              <w:jc w:val="right"/>
              <w:rPr/>
            </w:pPr>
            <w:r>
              <w:rPr/>
              <w:t>(1,714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double" w:sz="10" w:space="0" w:color="000000"/>
            </w:tcBorders>
            <w:shd w:fill="CCEEFF" w:val="clear"/>
            <w:tcMar>
              <w:bottom w:w="28" w:type="dxa"/>
            </w:tcMar>
            <w:vAlign w:val="center"/>
          </w:tcPr>
          <w:p>
            <w:pPr>
              <w:pStyle w:val="TableContents"/>
              <w:bidi w:val="0"/>
              <w:spacing w:before="0" w:after="283"/>
              <w:jc w:val="right"/>
              <w:rPr/>
            </w:pPr>
            <w:r>
              <w:rPr/>
              <w:t>(926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The foreign currency translation reserve is used to record foreign currency exchange differences arising from the translation of the financial statements of foreign operations whose functional currency is different from that of the presentation currency of the Group.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The Post-employment benefit obligations reserve represents the remeasurement of the Group’s post-employment benefit obligations, comprising actuarial gains and losses recognized in other comprehensive income. This amount will not be reclassified to profit or loss in subsequent periods and are therefore transferred to a non-distributable reserve within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283"/>
              <w:jc w:val="left"/>
              <w:rPr>
                <w:b/>
              </w:rPr>
            </w:pPr>
            <w:r>
              <w:rPr>
                <w:b/>
              </w:rPr>
              <w:t>22</w:t>
            </w:r>
          </w:p>
        </w:tc>
        <w:tc>
          <w:tcPr>
            <w:tcW w:w="1250" w:type="dxa"/>
            <w:tcBorders/>
            <w:vAlign w:val="center"/>
          </w:tcPr>
          <w:p>
            <w:pPr>
              <w:pStyle w:val="TableContents"/>
              <w:bidi w:val="0"/>
              <w:spacing w:before="0" w:after="283"/>
              <w:jc w:val="both"/>
              <w:rPr>
                <w:b/>
              </w:rPr>
            </w:pPr>
            <w:r>
              <w:rPr>
                <w:b/>
              </w:rPr>
              <w:t>REVENUE</w:t>
            </w:r>
          </w:p>
        </w:tc>
      </w:tr>
    </w:tbl>
    <w:p>
      <w:pPr>
        <w:pStyle w:val="TextBody"/>
        <w:bidi w:val="0"/>
        <w:spacing w:before="0" w:after="0"/>
        <w:ind w:left="960" w:right="0" w:hanging="48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9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(a)</w:t>
            </w:r>
          </w:p>
        </w:tc>
        <w:tc>
          <w:tcPr>
            <w:tcW w:w="2600" w:type="dxa"/>
            <w:tcBorders/>
            <w:vAlign w:val="center"/>
          </w:tcPr>
          <w:p>
            <w:pPr>
              <w:pStyle w:val="TableContents"/>
              <w:bidi w:val="0"/>
              <w:spacing w:before="0" w:after="283"/>
              <w:jc w:val="both"/>
              <w:rPr>
                <w:b/>
                <w:i/>
              </w:rPr>
            </w:pPr>
            <w:r>
              <w:rPr>
                <w:b/>
                <w:i/>
              </w:rPr>
              <w:t>Sales of goods by product:</w:t>
            </w:r>
          </w:p>
        </w:tc>
      </w:tr>
    </w:tbl>
    <w:p>
      <w:pPr>
        <w:pStyle w:val="TextBody"/>
        <w:bidi w:val="0"/>
        <w:spacing w:before="0" w:after="0"/>
        <w:ind w:left="960" w:right="0" w:hanging="480"/>
        <w:jc w:val="both"/>
        <w:rPr>
          <w:caps w:val="false"/>
          <w:smallCaps w:val="false"/>
        </w:rPr>
      </w:pPr>
      <w:r>
        <w:rPr>
          <w:caps w:val="false"/>
          <w:smallCaps w:val="false"/>
        </w:rPr>
        <w:t> </w:t>
      </w:r>
    </w:p>
    <w:tbl>
      <w:tblPr>
        <w:tblW w:w="8777" w:type="dxa"/>
        <w:jc w:val="left"/>
        <w:tblInd w:w="0" w:type="dxa"/>
        <w:tblLayout w:type="fixed"/>
        <w:tblCellMar>
          <w:top w:w="0" w:type="dxa"/>
          <w:left w:w="0" w:type="dxa"/>
          <w:bottom w:w="0" w:type="dxa"/>
          <w:right w:w="0" w:type="dxa"/>
        </w:tblCellMar>
      </w:tblPr>
      <w:tblGrid>
        <w:gridCol w:w="2870"/>
        <w:gridCol w:w="60"/>
        <w:gridCol w:w="91"/>
        <w:gridCol w:w="858"/>
        <w:gridCol w:w="60"/>
        <w:gridCol w:w="60"/>
        <w:gridCol w:w="60"/>
        <w:gridCol w:w="560"/>
        <w:gridCol w:w="215"/>
        <w:gridCol w:w="60"/>
        <w:gridCol w:w="77"/>
        <w:gridCol w:w="872"/>
        <w:gridCol w:w="60"/>
        <w:gridCol w:w="60"/>
        <w:gridCol w:w="60"/>
        <w:gridCol w:w="560"/>
        <w:gridCol w:w="215"/>
        <w:gridCol w:w="60"/>
        <w:gridCol w:w="77"/>
        <w:gridCol w:w="872"/>
        <w:gridCol w:w="60"/>
        <w:gridCol w:w="60"/>
        <w:gridCol w:w="60"/>
        <w:gridCol w:w="560"/>
        <w:gridCol w:w="230"/>
      </w:tblGrid>
      <w:tr>
        <w:trPr/>
        <w:tc>
          <w:tcPr>
            <w:tcW w:w="28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ind w:left="0" w:right="0" w:hanging="180"/>
              <w:jc w:val="left"/>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ind w:left="0" w:right="0" w:hanging="180"/>
              <w:jc w:val="left"/>
              <w:rPr/>
            </w:pPr>
            <w:r>
              <w:rPr/>
              <w:t> </w:t>
            </w:r>
          </w:p>
        </w:tc>
      </w:tr>
      <w:tr>
        <w:trPr/>
        <w:tc>
          <w:tcPr>
            <w:tcW w:w="2870" w:type="dxa"/>
            <w:tcBorders/>
            <w:vAlign w:val="center"/>
          </w:tcPr>
          <w:p>
            <w:pPr>
              <w:pStyle w:val="TableContents"/>
              <w:bidi w:val="0"/>
              <w:spacing w:before="0" w:after="283"/>
              <w:jc w:val="left"/>
              <w:rPr>
                <w:b/>
              </w:rPr>
            </w:pPr>
            <w:r>
              <w:rPr>
                <w:b/>
              </w:rPr>
              <w:t>Recognized at point in time:</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2870" w:type="dxa"/>
            <w:tcBorders/>
            <w:vAlign w:val="center"/>
          </w:tcPr>
          <w:p>
            <w:pPr>
              <w:pStyle w:val="TableContents"/>
              <w:bidi w:val="0"/>
              <w:spacing w:before="0" w:after="283"/>
              <w:jc w:val="left"/>
              <w:rPr>
                <w:b/>
              </w:rPr>
            </w:pPr>
            <w:r>
              <w:rPr>
                <w:b/>
              </w:rPr>
              <w:t>Sales of goods</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pPr>
            <w:r>
              <w:rPr/>
              <w:t>Amphibious machinery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10,817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64.5</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70" w:type="dxa"/>
            <w:tcBorders/>
            <w:shd w:fill="FFFFFF" w:val="clear"/>
            <w:vAlign w:val="center"/>
          </w:tcPr>
          <w:p>
            <w:pPr>
              <w:pStyle w:val="TableContents"/>
              <w:bidi w:val="0"/>
              <w:spacing w:before="0" w:after="283"/>
              <w:jc w:val="left"/>
              <w:rPr/>
            </w:pPr>
            <w:r>
              <w:rPr/>
              <w:t>Aquatic weed harvesters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1,859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11.1</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870" w:type="dxa"/>
            <w:tcBorders/>
            <w:shd w:fill="CCEEFF" w:val="clear"/>
            <w:vAlign w:val="center"/>
          </w:tcPr>
          <w:p>
            <w:pPr>
              <w:pStyle w:val="TableContents"/>
              <w:bidi w:val="0"/>
              <w:spacing w:before="0" w:after="283"/>
              <w:jc w:val="left"/>
              <w:rPr/>
            </w:pPr>
            <w:r>
              <w:rPr/>
              <w:t>Dredgers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70" w:type="dxa"/>
            <w:tcBorders/>
            <w:shd w:fill="FFFFFF" w:val="clear"/>
            <w:vAlign w:val="center"/>
          </w:tcPr>
          <w:p>
            <w:pPr>
              <w:pStyle w:val="TableContents"/>
              <w:bidi w:val="0"/>
              <w:spacing w:before="0" w:after="283"/>
              <w:jc w:val="left"/>
              <w:rPr/>
            </w:pPr>
            <w:r>
              <w:rPr/>
              <w:t>Sales of parts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1,523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2,574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15.4</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8,570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19,968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96.5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15,417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92.0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b/>
              </w:rPr>
            </w:pPr>
            <w:r>
              <w:rPr>
                <w:b/>
              </w:rPr>
              <w:t>Recognized over time: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2870" w:type="dxa"/>
            <w:tcBorders/>
            <w:shd w:fill="FFFFFF" w:val="clear"/>
            <w:vAlign w:val="center"/>
          </w:tcPr>
          <w:p>
            <w:pPr>
              <w:pStyle w:val="TableContents"/>
              <w:bidi w:val="0"/>
              <w:spacing w:before="0" w:after="283"/>
              <w:jc w:val="left"/>
              <w:rPr>
                <w:b/>
              </w:rPr>
            </w:pPr>
            <w:r>
              <w:rPr>
                <w:b/>
              </w:rPr>
              <w:t>Rendering of services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pPr>
            <w:r>
              <w:rPr/>
              <w:t>Service income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70" w:type="dxa"/>
            <w:tcBorders/>
            <w:shd w:fill="FFFFFF" w:val="clear"/>
            <w:vAlign w:val="center"/>
          </w:tcPr>
          <w:p>
            <w:pPr>
              <w:pStyle w:val="TableContents"/>
              <w:bidi w:val="0"/>
              <w:spacing w:before="0" w:after="283"/>
              <w:jc w:val="left"/>
              <w:rPr/>
            </w:pPr>
            <w:r>
              <w:rPr/>
              <w:t>Rental of machinery</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28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8,968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double" w:sz="10" w:space="0" w:color="000000"/>
            </w:tcBorders>
            <w:shd w:fill="FFFFFF" w:val="clear"/>
            <w:tcMar>
              <w:bottom w:w="28" w:type="dxa"/>
            </w:tcMar>
            <w:vAlign w:val="center"/>
          </w:tcPr>
          <w:p>
            <w:pPr>
              <w:pStyle w:val="TableContents"/>
              <w:bidi w:val="0"/>
              <w:spacing w:before="0" w:after="283"/>
              <w:jc w:val="right"/>
              <w:rPr/>
            </w:pPr>
            <w:r>
              <w:rPr/>
              <w:t>20,697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double" w:sz="10" w:space="0" w:color="000000"/>
            </w:tcBorders>
            <w:shd w:fill="FFFFFF" w:val="clear"/>
            <w:tcMar>
              <w:bottom w:w="28" w:type="dxa"/>
            </w:tcMar>
            <w:vAlign w:val="center"/>
          </w:tcPr>
          <w:p>
            <w:pPr>
              <w:pStyle w:val="TableContents"/>
              <w:bidi w:val="0"/>
              <w:spacing w:before="0" w:after="283"/>
              <w:jc w:val="right"/>
              <w:rPr/>
            </w:pPr>
            <w:r>
              <w:rPr/>
              <w:t>16,755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29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(b)</w:t>
            </w:r>
          </w:p>
        </w:tc>
        <w:tc>
          <w:tcPr>
            <w:tcW w:w="5300" w:type="dxa"/>
            <w:tcBorders/>
            <w:vAlign w:val="center"/>
          </w:tcPr>
          <w:p>
            <w:pPr>
              <w:pStyle w:val="TableContents"/>
              <w:bidi w:val="0"/>
              <w:spacing w:before="0" w:after="283"/>
              <w:jc w:val="both"/>
              <w:rPr>
                <w:b/>
                <w:i/>
              </w:rPr>
            </w:pPr>
            <w:r>
              <w:rPr>
                <w:b/>
                <w:i/>
              </w:rPr>
              <w:t>Sales of goods and services by geographical locations:</w:t>
            </w:r>
          </w:p>
        </w:tc>
      </w:tr>
    </w:tbl>
    <w:p>
      <w:pPr>
        <w:pStyle w:val="TextBody"/>
        <w:bidi w:val="0"/>
        <w:spacing w:before="0" w:after="0"/>
        <w:ind w:left="960" w:right="0" w:hanging="480"/>
        <w:jc w:val="both"/>
        <w:rPr>
          <w:caps w:val="false"/>
          <w:smallCaps w:val="false"/>
        </w:rPr>
      </w:pPr>
      <w:r>
        <w:rPr>
          <w:caps w:val="false"/>
          <w:smallCaps w:val="false"/>
        </w:rPr>
        <w:t> </w:t>
      </w:r>
    </w:p>
    <w:tbl>
      <w:tblPr>
        <w:tblW w:w="7367" w:type="dxa"/>
        <w:jc w:val="left"/>
        <w:tblInd w:w="0" w:type="dxa"/>
        <w:tblLayout w:type="fixed"/>
        <w:tblCellMar>
          <w:top w:w="0" w:type="dxa"/>
          <w:left w:w="0" w:type="dxa"/>
          <w:bottom w:w="0" w:type="dxa"/>
          <w:right w:w="0" w:type="dxa"/>
        </w:tblCellMar>
      </w:tblPr>
      <w:tblGrid>
        <w:gridCol w:w="1460"/>
        <w:gridCol w:w="60"/>
        <w:gridCol w:w="91"/>
        <w:gridCol w:w="858"/>
        <w:gridCol w:w="60"/>
        <w:gridCol w:w="60"/>
        <w:gridCol w:w="60"/>
        <w:gridCol w:w="560"/>
        <w:gridCol w:w="215"/>
        <w:gridCol w:w="60"/>
        <w:gridCol w:w="77"/>
        <w:gridCol w:w="872"/>
        <w:gridCol w:w="60"/>
        <w:gridCol w:w="60"/>
        <w:gridCol w:w="60"/>
        <w:gridCol w:w="560"/>
        <w:gridCol w:w="215"/>
        <w:gridCol w:w="60"/>
        <w:gridCol w:w="77"/>
        <w:gridCol w:w="872"/>
        <w:gridCol w:w="60"/>
        <w:gridCol w:w="60"/>
        <w:gridCol w:w="60"/>
        <w:gridCol w:w="560"/>
        <w:gridCol w:w="230"/>
      </w:tblGrid>
      <w:tr>
        <w:trPr/>
        <w:tc>
          <w:tcPr>
            <w:tcW w:w="14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7,335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19,394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11,974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71.5</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Europe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2,583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15.4</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Middle East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pPr>
            <w:r>
              <w:rPr/>
              <w:t>Africa</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South America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North America</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775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8,968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double" w:sz="10" w:space="0" w:color="000000"/>
            </w:tcBorders>
            <w:shd w:fill="CCEEFF" w:val="clear"/>
            <w:tcMar>
              <w:bottom w:w="28" w:type="dxa"/>
            </w:tcMar>
            <w:vAlign w:val="center"/>
          </w:tcPr>
          <w:p>
            <w:pPr>
              <w:pStyle w:val="TableContents"/>
              <w:bidi w:val="0"/>
              <w:spacing w:before="0" w:after="283"/>
              <w:jc w:val="right"/>
              <w:rPr/>
            </w:pPr>
            <w:r>
              <w:rPr/>
              <w:t>20,697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double" w:sz="10" w:space="0" w:color="000000"/>
            </w:tcBorders>
            <w:shd w:fill="CCEEFF" w:val="clear"/>
            <w:tcMar>
              <w:bottom w:w="28" w:type="dxa"/>
            </w:tcMar>
            <w:vAlign w:val="center"/>
          </w:tcPr>
          <w:p>
            <w:pPr>
              <w:pStyle w:val="TableContents"/>
              <w:bidi w:val="0"/>
              <w:spacing w:before="0" w:after="283"/>
              <w:jc w:val="right"/>
              <w:rPr/>
            </w:pPr>
            <w:r>
              <w:rPr/>
              <w:t>16,755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960" w:right="0" w:hanging="48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75"/>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i/>
              </w:rPr>
            </w:pPr>
            <w:r>
              <w:rPr>
                <w:b/>
                <w:i/>
              </w:rPr>
              <w:t>(c)</w:t>
            </w:r>
          </w:p>
        </w:tc>
        <w:tc>
          <w:tcPr>
            <w:tcW w:w="1805" w:type="dxa"/>
            <w:tcBorders/>
            <w:vAlign w:val="center"/>
          </w:tcPr>
          <w:p>
            <w:pPr>
              <w:pStyle w:val="TableContents"/>
              <w:bidi w:val="0"/>
              <w:spacing w:before="0" w:after="283"/>
              <w:jc w:val="both"/>
              <w:rPr>
                <w:b/>
                <w:i/>
              </w:rPr>
            </w:pPr>
            <w:r>
              <w:rPr>
                <w:b/>
                <w:i/>
              </w:rPr>
              <w:t>Contract liabilities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contract liabilities during the year are as follows:</w:t>
      </w:r>
    </w:p>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4"/>
        <w:gridCol w:w="60"/>
        <w:gridCol w:w="97"/>
        <w:gridCol w:w="752"/>
        <w:gridCol w:w="95"/>
        <w:gridCol w:w="60"/>
        <w:gridCol w:w="97"/>
        <w:gridCol w:w="752"/>
        <w:gridCol w:w="95"/>
        <w:gridCol w:w="60"/>
        <w:gridCol w:w="75"/>
        <w:gridCol w:w="803"/>
        <w:gridCol w:w="105"/>
      </w:tblGrid>
      <w:tr>
        <w:trPr/>
        <w:tc>
          <w:tcPr>
            <w:tcW w:w="715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ind w:left="0" w:right="0" w:hanging="180"/>
              <w:jc w:val="left"/>
              <w:rPr/>
            </w:pPr>
            <w:r>
              <w:rPr/>
              <w:t> </w:t>
            </w:r>
          </w:p>
        </w:tc>
      </w:tr>
      <w:tr>
        <w:trPr/>
        <w:tc>
          <w:tcPr>
            <w:tcW w:w="71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b/>
              </w:rPr>
            </w:pPr>
            <w:r>
              <w:rPr>
                <w:b/>
              </w:rPr>
              <w:t>USD’000</w:t>
            </w:r>
          </w:p>
        </w:tc>
        <w:tc>
          <w:tcPr>
            <w:tcW w:w="105" w:type="dxa"/>
            <w:tcBorders/>
            <w:vAlign w:val="center"/>
          </w:tcPr>
          <w:p>
            <w:pPr>
              <w:pStyle w:val="TableContents"/>
              <w:bidi w:val="0"/>
              <w:spacing w:before="0" w:after="283"/>
              <w:ind w:left="0" w:right="0" w:hanging="180"/>
              <w:jc w:val="left"/>
              <w:rPr/>
            </w:pPr>
            <w:r>
              <w:rPr/>
              <w:t> </w:t>
            </w:r>
          </w:p>
        </w:tc>
      </w:tr>
      <w:tr>
        <w:trPr/>
        <w:tc>
          <w:tcPr>
            <w:tcW w:w="7154" w:type="dxa"/>
            <w:tcBorders/>
            <w:vAlign w:val="center"/>
          </w:tcPr>
          <w:p>
            <w:pPr>
              <w:pStyle w:val="TableContents"/>
              <w:bidi w:val="0"/>
              <w:spacing w:before="0" w:after="283"/>
              <w:jc w:val="left"/>
              <w:rPr>
                <w:b/>
                <w:i/>
              </w:rPr>
            </w:pPr>
            <w:r>
              <w:rPr>
                <w:b/>
                <w:i/>
              </w:rPr>
              <w:t>Contract liabilities</w:t>
            </w:r>
          </w:p>
        </w:tc>
        <w:tc>
          <w:tcPr>
            <w:tcW w:w="60"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7154" w:type="dxa"/>
            <w:tcBorders/>
            <w:shd w:fill="CCEEFF" w:val="clear"/>
            <w:vAlign w:val="center"/>
          </w:tcPr>
          <w:p>
            <w:pPr>
              <w:pStyle w:val="TableContents"/>
              <w:bidi w:val="0"/>
              <w:spacing w:before="0" w:after="283"/>
              <w:jc w:val="left"/>
              <w:rPr/>
            </w:pPr>
            <w:r>
              <w:rPr/>
              <w:t>As at July 1</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990</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54" w:type="dxa"/>
            <w:tcBorders/>
            <w:shd w:fill="FFFFFF" w:val="clear"/>
            <w:vAlign w:val="center"/>
          </w:tcPr>
          <w:p>
            <w:pPr>
              <w:pStyle w:val="TableContents"/>
              <w:bidi w:val="0"/>
              <w:spacing w:before="0" w:after="283"/>
              <w:jc w:val="left"/>
              <w:rPr/>
            </w:pPr>
            <w:r>
              <w:rPr/>
              <w:t>Revenue recognized that was included in the contract liabilities balance at the beginning of the year</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(1,005</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154" w:type="dxa"/>
            <w:tcBorders/>
            <w:shd w:fill="CCEEFF" w:val="clear"/>
            <w:vAlign w:val="center"/>
          </w:tcPr>
          <w:p>
            <w:pPr>
              <w:pStyle w:val="TableContents"/>
              <w:bidi w:val="0"/>
              <w:spacing w:before="0" w:after="283"/>
              <w:jc w:val="left"/>
              <w:rPr/>
            </w:pPr>
            <w:r>
              <w:rPr/>
              <w:t>Cash received, excluding amount recognized as revenue during the year</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655</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54" w:type="dxa"/>
            <w:tcBorders/>
            <w:shd w:fill="FFFFFF" w:val="clear"/>
            <w:vAlign w:val="center"/>
          </w:tcPr>
          <w:p>
            <w:pPr>
              <w:pStyle w:val="TableContents"/>
              <w:bidi w:val="0"/>
              <w:spacing w:before="0" w:after="283"/>
              <w:jc w:val="left"/>
              <w:rPr/>
            </w:pPr>
            <w:r>
              <w:rPr/>
              <w:t>Unsatisfied performance obligations expected to be recognized in the next twelve months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154"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103</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154" w:type="dxa"/>
            <w:tcBorders/>
            <w:shd w:fill="FFFFFF" w:val="clear"/>
            <w:vAlign w:val="center"/>
          </w:tcPr>
          <w:p>
            <w:pPr>
              <w:pStyle w:val="TableContents"/>
              <w:bidi w:val="0"/>
              <w:spacing w:before="0" w:after="283"/>
              <w:jc w:val="left"/>
              <w:rPr/>
            </w:pPr>
            <w:r>
              <w:rPr/>
              <w:t>As at June 30</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double" w:sz="10" w:space="0" w:color="000000"/>
            </w:tcBorders>
            <w:shd w:fill="FFFFFF" w:val="clear"/>
            <w:tcMar>
              <w:bottom w:w="28" w:type="dxa"/>
            </w:tcMar>
            <w:vAlign w:val="center"/>
          </w:tcPr>
          <w:p>
            <w:pPr>
              <w:pStyle w:val="TableContents"/>
              <w:bidi w:val="0"/>
              <w:spacing w:before="0" w:after="283"/>
              <w:jc w:val="right"/>
              <w:rPr/>
            </w:pPr>
            <w:r>
              <w:rPr/>
              <w:t>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double" w:sz="10" w:space="0" w:color="000000"/>
            </w:tcBorders>
            <w:shd w:fill="FFFFFF" w:val="clear"/>
            <w:tcMar>
              <w:bottom w:w="28" w:type="dxa"/>
            </w:tcMar>
            <w:vAlign w:val="center"/>
          </w:tcPr>
          <w:p>
            <w:pPr>
              <w:pStyle w:val="TableContents"/>
              <w:bidi w:val="0"/>
              <w:spacing w:before="0" w:after="283"/>
              <w:jc w:val="right"/>
              <w:rPr/>
            </w:pPr>
            <w:r>
              <w:rPr/>
              <w:t>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double" w:sz="10" w:space="0" w:color="000000"/>
            </w:tcBorders>
            <w:shd w:fill="FFFFFF" w:val="clear"/>
            <w:tcMar>
              <w:bottom w:w="28" w:type="dxa"/>
            </w:tcMar>
            <w:vAlign w:val="center"/>
          </w:tcPr>
          <w:p>
            <w:pPr>
              <w:pStyle w:val="TableContents"/>
              <w:bidi w:val="0"/>
              <w:spacing w:before="0" w:after="283"/>
              <w:jc w:val="right"/>
              <w:rPr/>
            </w:pPr>
            <w:r>
              <w:rPr/>
              <w:t>743</w:t>
            </w:r>
          </w:p>
        </w:tc>
        <w:tc>
          <w:tcPr>
            <w:tcW w:w="1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to the Company’s rights to consideration for works completed but not billed. Contract assets are transferred to trade receivables when the rights become unconditional which usually occurs when the customers are billed. Contract liabilities represent advances received from customers in respect of unfulfilled services as at the balance sheet date. These will be recognized as revenue when customers obtain or transfer control of the services and performance obligations are satisfied in the next financial year.</w:t>
      </w:r>
    </w:p>
    <w:p>
      <w:pPr>
        <w:pStyle w:val="TextBody"/>
        <w:bidi w:val="0"/>
        <w:spacing w:before="0" w:after="0"/>
        <w:ind w:left="960" w:right="0" w:hanging="48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9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i/>
              </w:rPr>
            </w:pPr>
            <w:r>
              <w:rPr>
                <w:b/>
                <w:i/>
              </w:rPr>
              <w:t>(d)</w:t>
            </w:r>
          </w:p>
        </w:tc>
        <w:tc>
          <w:tcPr>
            <w:tcW w:w="3560" w:type="dxa"/>
            <w:tcBorders/>
            <w:vAlign w:val="center"/>
          </w:tcPr>
          <w:p>
            <w:pPr>
              <w:pStyle w:val="TableContents"/>
              <w:bidi w:val="0"/>
              <w:spacing w:before="0" w:after="283"/>
              <w:jc w:val="both"/>
              <w:rPr>
                <w:b/>
                <w:i/>
              </w:rPr>
            </w:pPr>
            <w:r>
              <w:rPr>
                <w:b/>
                <w:i/>
              </w:rPr>
              <w:t>Unsatisfied performance obligations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is not disclosing the transaction price allocated to unsatisfied (or partially unsatisfied) performance obligations as at June 30, 2023, 2024 and 2025 that may be recognized as revenue in the next year as permitted under the IFRS 15 due to the aggregated transaction price allocated to the period of these unsatisfied contracts was one year or less, or are billed based on time incurred. This amount does not include variable 2consideration, which is subject to significant risk of reversal.</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75"/>
        <w:gridCol w:w="2720"/>
      </w:tblGrid>
      <w:tr>
        <w:trPr/>
        <w:tc>
          <w:tcPr>
            <w:tcW w:w="275" w:type="dxa"/>
            <w:tcBorders/>
            <w:vAlign w:val="center"/>
          </w:tcPr>
          <w:p>
            <w:pPr>
              <w:pStyle w:val="TableContents"/>
              <w:bidi w:val="0"/>
              <w:spacing w:before="0" w:after="283"/>
              <w:jc w:val="left"/>
              <w:rPr>
                <w:b/>
              </w:rPr>
            </w:pPr>
            <w:r>
              <w:rPr>
                <w:b/>
              </w:rPr>
              <w:t>23</w:t>
            </w:r>
          </w:p>
        </w:tc>
        <w:tc>
          <w:tcPr>
            <w:tcW w:w="2720" w:type="dxa"/>
            <w:tcBorders/>
            <w:vAlign w:val="center"/>
          </w:tcPr>
          <w:p>
            <w:pPr>
              <w:pStyle w:val="TableContents"/>
              <w:bidi w:val="0"/>
              <w:spacing w:before="0" w:after="283"/>
              <w:jc w:val="both"/>
              <w:rPr>
                <w:b/>
              </w:rPr>
            </w:pPr>
            <w:r>
              <w:rPr>
                <w:b/>
              </w:rPr>
              <w:t>COST OF GOODS SOLD</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cost of goods sold were the following items:</w:t>
      </w:r>
    </w:p>
    <w:p>
      <w:pPr>
        <w:pStyle w:val="TextBody"/>
        <w:bidi w:val="0"/>
        <w:spacing w:before="0" w:after="0"/>
        <w:ind w:left="480" w:right="0" w:hanging="0"/>
        <w:jc w:val="both"/>
        <w:rPr>
          <w:caps w:val="false"/>
          <w:smallCaps w:val="false"/>
        </w:rPr>
      </w:pPr>
      <w:r>
        <w:rPr>
          <w:caps w:val="false"/>
          <w:smallCaps w:val="false"/>
        </w:rPr>
        <w:t> </w:t>
      </w:r>
    </w:p>
    <w:tbl>
      <w:tblPr>
        <w:tblW w:w="8252" w:type="dxa"/>
        <w:jc w:val="left"/>
        <w:tblInd w:w="0" w:type="dxa"/>
        <w:tblLayout w:type="fixed"/>
        <w:tblCellMar>
          <w:top w:w="0" w:type="dxa"/>
          <w:left w:w="0" w:type="dxa"/>
          <w:bottom w:w="0" w:type="dxa"/>
          <w:right w:w="0" w:type="dxa"/>
        </w:tblCellMar>
      </w:tblPr>
      <w:tblGrid>
        <w:gridCol w:w="4400"/>
        <w:gridCol w:w="60"/>
        <w:gridCol w:w="500"/>
        <w:gridCol w:w="60"/>
        <w:gridCol w:w="91"/>
        <w:gridCol w:w="858"/>
        <w:gridCol w:w="60"/>
        <w:gridCol w:w="60"/>
        <w:gridCol w:w="91"/>
        <w:gridCol w:w="858"/>
        <w:gridCol w:w="95"/>
        <w:gridCol w:w="60"/>
        <w:gridCol w:w="91"/>
        <w:gridCol w:w="858"/>
        <w:gridCol w:w="110"/>
      </w:tblGrid>
      <w:tr>
        <w:trPr/>
        <w:tc>
          <w:tcPr>
            <w:tcW w:w="44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Purchase of 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5,890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Changes in 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(959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Employee benefit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29</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1,213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97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Depreciation of right-of-use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Inventories written down/(written back)</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(298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400" w:type="dxa"/>
            <w:tcBorders/>
            <w:shd w:fill="CCEEFF" w:val="clear"/>
            <w:vAlign w:val="center"/>
          </w:tcPr>
          <w:p>
            <w:pPr>
              <w:pStyle w:val="TableContents"/>
              <w:bidi w:val="0"/>
              <w:spacing w:before="0" w:after="283"/>
              <w:jc w:val="left"/>
              <w:rPr/>
            </w:pPr>
            <w:r>
              <w:rPr/>
              <w:t>Short term and low value lease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275"/>
        <w:gridCol w:w="3305"/>
      </w:tblGrid>
      <w:tr>
        <w:trPr/>
        <w:tc>
          <w:tcPr>
            <w:tcW w:w="275" w:type="dxa"/>
            <w:tcBorders/>
            <w:vAlign w:val="center"/>
          </w:tcPr>
          <w:p>
            <w:pPr>
              <w:pStyle w:val="TableContents"/>
              <w:bidi w:val="0"/>
              <w:spacing w:before="0" w:after="283"/>
              <w:jc w:val="left"/>
              <w:rPr>
                <w:b/>
              </w:rPr>
            </w:pPr>
            <w:r>
              <w:rPr>
                <w:b/>
              </w:rPr>
              <w:t>24</w:t>
            </w:r>
          </w:p>
        </w:tc>
        <w:tc>
          <w:tcPr>
            <w:tcW w:w="3305" w:type="dxa"/>
            <w:tcBorders/>
            <w:vAlign w:val="center"/>
          </w:tcPr>
          <w:p>
            <w:pPr>
              <w:pStyle w:val="TableContents"/>
              <w:bidi w:val="0"/>
              <w:spacing w:before="0" w:after="283"/>
              <w:jc w:val="both"/>
              <w:rPr>
                <w:b/>
              </w:rPr>
            </w:pPr>
            <w:r>
              <w:rPr>
                <w:b/>
              </w:rPr>
              <w:t>OPERATING (LOSS)/PROFIT</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items have been charged/(credited) in arriving at operating (loss)/profit:</w:t>
      </w:r>
    </w:p>
    <w:p>
      <w:pPr>
        <w:pStyle w:val="TextBody"/>
        <w:bidi w:val="0"/>
        <w:spacing w:before="0" w:after="0"/>
        <w:ind w:left="720" w:right="0" w:hanging="0"/>
        <w:jc w:val="both"/>
        <w:rPr>
          <w:caps w:val="false"/>
          <w:smallCaps w:val="false"/>
        </w:rPr>
      </w:pPr>
      <w:r>
        <w:rPr>
          <w:caps w:val="false"/>
          <w:smallCaps w:val="false"/>
        </w:rPr>
        <w:t> </w:t>
      </w:r>
    </w:p>
    <w:tbl>
      <w:tblPr>
        <w:tblW w:w="8182" w:type="dxa"/>
        <w:jc w:val="left"/>
        <w:tblInd w:w="0" w:type="dxa"/>
        <w:tblLayout w:type="fixed"/>
        <w:tblCellMar>
          <w:top w:w="0" w:type="dxa"/>
          <w:left w:w="0" w:type="dxa"/>
          <w:bottom w:w="0" w:type="dxa"/>
          <w:right w:w="0" w:type="dxa"/>
        </w:tblCellMar>
      </w:tblPr>
      <w:tblGrid>
        <w:gridCol w:w="4400"/>
        <w:gridCol w:w="60"/>
        <w:gridCol w:w="500"/>
        <w:gridCol w:w="60"/>
        <w:gridCol w:w="128"/>
        <w:gridCol w:w="821"/>
        <w:gridCol w:w="60"/>
        <w:gridCol w:w="60"/>
        <w:gridCol w:w="91"/>
        <w:gridCol w:w="858"/>
        <w:gridCol w:w="60"/>
        <w:gridCol w:w="60"/>
        <w:gridCol w:w="91"/>
        <w:gridCol w:w="858"/>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i/>
                <w:u w:val="single"/>
              </w:rPr>
            </w:pPr>
            <w:r>
              <w:rPr>
                <w:i/>
                <w:u w:val="single"/>
              </w:rPr>
              <w:t>Selling and marketing expenses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Advertising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Consultation fee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Carriage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Commission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Project 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Travelling and transportation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Technical services and supplies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i/>
                <w:u w:val="single"/>
              </w:rPr>
            </w:pPr>
            <w:r>
              <w:rPr>
                <w:i/>
                <w:u w:val="single"/>
              </w:rPr>
              <w:t>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Bad debts written off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Employee benefit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29</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1,523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Loss on foreign exchange,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Depreciation of property, plant and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Depreciation of right-of-use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Consultation fee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Commission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Other tax expenses written off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Transportation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Insurance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Repair and maintenance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00" w:type="dxa"/>
            <w:tcBorders/>
            <w:shd w:fill="FFFFFF" w:val="clear"/>
            <w:vAlign w:val="center"/>
          </w:tcPr>
          <w:p>
            <w:pPr>
              <w:pStyle w:val="TableContents"/>
              <w:bidi w:val="0"/>
              <w:spacing w:before="0" w:after="283"/>
              <w:jc w:val="left"/>
              <w:rPr/>
            </w:pPr>
            <w:r>
              <w:rPr/>
              <w:t>Short term and low value lease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75"/>
        <w:gridCol w:w="1985"/>
      </w:tblGrid>
      <w:tr>
        <w:trPr/>
        <w:tc>
          <w:tcPr>
            <w:tcW w:w="275" w:type="dxa"/>
            <w:tcBorders/>
            <w:vAlign w:val="center"/>
          </w:tcPr>
          <w:p>
            <w:pPr>
              <w:pStyle w:val="TableContents"/>
              <w:bidi w:val="0"/>
              <w:spacing w:before="0" w:after="283"/>
              <w:jc w:val="left"/>
              <w:rPr>
                <w:b/>
              </w:rPr>
            </w:pPr>
            <w:r>
              <w:rPr>
                <w:b/>
              </w:rPr>
              <w:t>25</w:t>
            </w:r>
          </w:p>
        </w:tc>
        <w:tc>
          <w:tcPr>
            <w:tcW w:w="1985" w:type="dxa"/>
            <w:tcBorders/>
            <w:vAlign w:val="center"/>
          </w:tcPr>
          <w:p>
            <w:pPr>
              <w:pStyle w:val="TableContents"/>
              <w:bidi w:val="0"/>
              <w:spacing w:before="0" w:after="283"/>
              <w:jc w:val="both"/>
              <w:rPr>
                <w:b/>
              </w:rPr>
            </w:pPr>
            <w:r>
              <w:rPr>
                <w:b/>
              </w:rPr>
              <w:t>OTHER INCOME</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other income were the following items:</w:t>
      </w:r>
    </w:p>
    <w:p>
      <w:pPr>
        <w:pStyle w:val="TextBody"/>
        <w:bidi w:val="0"/>
        <w:spacing w:before="0" w:after="0"/>
        <w:ind w:left="720" w:right="0" w:hanging="0"/>
        <w:jc w:val="both"/>
        <w:rPr>
          <w:caps w:val="false"/>
          <w:smallCaps w:val="false"/>
        </w:rPr>
      </w:pPr>
      <w:r>
        <w:rPr>
          <w:caps w:val="false"/>
          <w:smallCaps w:val="false"/>
        </w:rPr>
        <w:t> </w:t>
      </w:r>
    </w:p>
    <w:tbl>
      <w:tblPr>
        <w:tblW w:w="8592" w:type="dxa"/>
        <w:jc w:val="left"/>
        <w:tblInd w:w="0" w:type="dxa"/>
        <w:tblLayout w:type="fixed"/>
        <w:tblCellMar>
          <w:top w:w="0" w:type="dxa"/>
          <w:left w:w="0" w:type="dxa"/>
          <w:bottom w:w="0" w:type="dxa"/>
          <w:right w:w="0" w:type="dxa"/>
        </w:tblCellMar>
      </w:tblPr>
      <w:tblGrid>
        <w:gridCol w:w="4775"/>
        <w:gridCol w:w="60"/>
        <w:gridCol w:w="500"/>
        <w:gridCol w:w="60"/>
        <w:gridCol w:w="128"/>
        <w:gridCol w:w="821"/>
        <w:gridCol w:w="60"/>
        <w:gridCol w:w="60"/>
        <w:gridCol w:w="128"/>
        <w:gridCol w:w="821"/>
        <w:gridCol w:w="95"/>
        <w:gridCol w:w="60"/>
        <w:gridCol w:w="128"/>
        <w:gridCol w:w="821"/>
        <w:gridCol w:w="75"/>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Sales of scrap iron</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94</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Gain on foreign exchange,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Gain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46</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27</w:t>
            </w:r>
          </w:p>
        </w:tc>
        <w:tc>
          <w:tcPr>
            <w:tcW w:w="75"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Forfeiture of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243</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Fair value gain/(loss) on financial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Service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Real property gains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75"/>
        <w:gridCol w:w="1880"/>
      </w:tblGrid>
      <w:tr>
        <w:trPr/>
        <w:tc>
          <w:tcPr>
            <w:tcW w:w="275" w:type="dxa"/>
            <w:tcBorders/>
            <w:vAlign w:val="center"/>
          </w:tcPr>
          <w:p>
            <w:pPr>
              <w:pStyle w:val="TableContents"/>
              <w:bidi w:val="0"/>
              <w:spacing w:before="0" w:after="283"/>
              <w:jc w:val="left"/>
              <w:rPr>
                <w:b/>
              </w:rPr>
            </w:pPr>
            <w:r>
              <w:rPr>
                <w:b/>
              </w:rPr>
              <w:t>26</w:t>
            </w:r>
          </w:p>
        </w:tc>
        <w:tc>
          <w:tcPr>
            <w:tcW w:w="1880" w:type="dxa"/>
            <w:tcBorders/>
            <w:vAlign w:val="center"/>
          </w:tcPr>
          <w:p>
            <w:pPr>
              <w:pStyle w:val="TableContents"/>
              <w:bidi w:val="0"/>
              <w:spacing w:before="0" w:after="283"/>
              <w:jc w:val="both"/>
              <w:rPr>
                <w:b/>
              </w:rPr>
            </w:pPr>
            <w:r>
              <w:rPr>
                <w:b/>
              </w:rPr>
              <w:t>FINANCE COST</w:t>
            </w:r>
          </w:p>
        </w:tc>
      </w:tr>
    </w:tbl>
    <w:p>
      <w:pPr>
        <w:pStyle w:val="TextBody"/>
        <w:bidi w:val="0"/>
        <w:spacing w:before="0" w:after="0"/>
        <w:ind w:left="480" w:right="0" w:hanging="480"/>
        <w:jc w:val="both"/>
        <w:rPr>
          <w:caps w:val="false"/>
          <w:smallCaps w:val="false"/>
        </w:rPr>
      </w:pPr>
      <w:r>
        <w:rPr>
          <w:caps w:val="false"/>
          <w:smallCaps w:val="false"/>
        </w:rPr>
        <w:t> </w:t>
      </w:r>
    </w:p>
    <w:tbl>
      <w:tblPr>
        <w:tblW w:w="7177" w:type="dxa"/>
        <w:jc w:val="left"/>
        <w:tblInd w:w="0" w:type="dxa"/>
        <w:tblLayout w:type="fixed"/>
        <w:tblCellMar>
          <w:top w:w="0" w:type="dxa"/>
          <w:left w:w="0" w:type="dxa"/>
          <w:bottom w:w="0" w:type="dxa"/>
          <w:right w:w="0" w:type="dxa"/>
        </w:tblCellMar>
      </w:tblPr>
      <w:tblGrid>
        <w:gridCol w:w="3395"/>
        <w:gridCol w:w="60"/>
        <w:gridCol w:w="500"/>
        <w:gridCol w:w="60"/>
        <w:gridCol w:w="128"/>
        <w:gridCol w:w="821"/>
        <w:gridCol w:w="60"/>
        <w:gridCol w:w="60"/>
        <w:gridCol w:w="128"/>
        <w:gridCol w:w="821"/>
        <w:gridCol w:w="60"/>
        <w:gridCol w:w="60"/>
        <w:gridCol w:w="128"/>
        <w:gridCol w:w="821"/>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Bankers’ acceptance interest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Term loan and trust receipts interest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67</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FFFFFF" w:val="clear"/>
            <w:tcMar>
              <w:bottom w:w="28" w:type="dxa"/>
            </w:tcMar>
            <w:vAlign w:val="center"/>
          </w:tcPr>
          <w:p>
            <w:pPr>
              <w:pStyle w:val="TableContents"/>
              <w:bidi w:val="0"/>
              <w:spacing w:before="0" w:after="283"/>
              <w:jc w:val="right"/>
              <w:rPr/>
            </w:pPr>
            <w:r>
              <w:rPr/>
              <w:t>176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275"/>
        <w:gridCol w:w="2975"/>
      </w:tblGrid>
      <w:tr>
        <w:trPr/>
        <w:tc>
          <w:tcPr>
            <w:tcW w:w="275" w:type="dxa"/>
            <w:tcBorders/>
            <w:vAlign w:val="center"/>
          </w:tcPr>
          <w:p>
            <w:pPr>
              <w:pStyle w:val="TableContents"/>
              <w:bidi w:val="0"/>
              <w:spacing w:before="0" w:after="283"/>
              <w:jc w:val="left"/>
              <w:rPr>
                <w:b/>
              </w:rPr>
            </w:pPr>
            <w:r>
              <w:rPr>
                <w:b/>
              </w:rPr>
              <w:t>27</w:t>
            </w:r>
          </w:p>
        </w:tc>
        <w:tc>
          <w:tcPr>
            <w:tcW w:w="2975" w:type="dxa"/>
            <w:tcBorders/>
            <w:vAlign w:val="center"/>
          </w:tcPr>
          <w:p>
            <w:pPr>
              <w:pStyle w:val="TableContents"/>
              <w:bidi w:val="0"/>
              <w:spacing w:before="0" w:after="283"/>
              <w:jc w:val="both"/>
              <w:rPr>
                <w:b/>
              </w:rPr>
            </w:pPr>
            <w:r>
              <w:rPr>
                <w:b/>
              </w:rPr>
              <w:t>INCOME TAX EXPENSES</w:t>
            </w:r>
          </w:p>
        </w:tc>
      </w:tr>
    </w:tbl>
    <w:p>
      <w:pPr>
        <w:pStyle w:val="TextBody"/>
        <w:bidi w:val="0"/>
        <w:spacing w:before="0" w:after="0"/>
        <w:ind w:left="480" w:right="0" w:hanging="480"/>
        <w:jc w:val="both"/>
        <w:rPr>
          <w:caps w:val="false"/>
          <w:smallCaps w:val="false"/>
        </w:rPr>
      </w:pPr>
      <w:r>
        <w:rPr>
          <w:caps w:val="false"/>
          <w:smallCaps w:val="false"/>
        </w:rPr>
        <w:t> </w:t>
      </w:r>
    </w:p>
    <w:tbl>
      <w:tblPr>
        <w:tblW w:w="8902" w:type="dxa"/>
        <w:jc w:val="left"/>
        <w:tblInd w:w="0" w:type="dxa"/>
        <w:tblLayout w:type="fixed"/>
        <w:tblCellMar>
          <w:top w:w="0" w:type="dxa"/>
          <w:left w:w="0" w:type="dxa"/>
          <w:bottom w:w="0" w:type="dxa"/>
          <w:right w:w="0" w:type="dxa"/>
        </w:tblCellMar>
      </w:tblPr>
      <w:tblGrid>
        <w:gridCol w:w="5120"/>
        <w:gridCol w:w="60"/>
        <w:gridCol w:w="500"/>
        <w:gridCol w:w="60"/>
        <w:gridCol w:w="128"/>
        <w:gridCol w:w="821"/>
        <w:gridCol w:w="60"/>
        <w:gridCol w:w="60"/>
        <w:gridCol w:w="91"/>
        <w:gridCol w:w="858"/>
        <w:gridCol w:w="60"/>
        <w:gridCol w:w="60"/>
        <w:gridCol w:w="128"/>
        <w:gridCol w:w="821"/>
        <w:gridCol w:w="75"/>
      </w:tblGrid>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center"/>
              <w:rPr/>
            </w:pPr>
            <w:r>
              <w:rPr/>
              <w:t> </w:t>
            </w:r>
          </w:p>
        </w:tc>
      </w:tr>
      <w:tr>
        <w:trPr/>
        <w:tc>
          <w:tcPr>
            <w:tcW w:w="5120" w:type="dxa"/>
            <w:tcBorders/>
            <w:vAlign w:val="center"/>
          </w:tcPr>
          <w:p>
            <w:pPr>
              <w:pStyle w:val="TableContents"/>
              <w:bidi w:val="0"/>
              <w:spacing w:before="0" w:after="283"/>
              <w:jc w:val="left"/>
              <w:rPr>
                <w:b/>
              </w:rPr>
            </w:pPr>
            <w:r>
              <w:rPr>
                <w:b/>
              </w:rPr>
              <w:t>Tax expenses recognized in profit or loss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Current income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989</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Total income tax expenses recognized in profit or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989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in the Cayman Islands and is not subject to tax on income or capital gains under current Cayman Islands law. In addition, no Cayman Islands withholding tax will be imposed upon payments of dividends by this entity to its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UMSB is subject to Malaysia Corporate Tax on the taxable income as reported in its statutory financial statements adjusted in accordance with relevant Malaysia tax laws. The standard corporate income tax rate in Malaysia is 24%. However, if the Company has a paid-up capital of MYR2.5 million or less, and gross income from business of not more than MYR50 million, the tax rate will be 17% on the first MYR600,000 and 24% on amount exceeding MYR600,000.</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in Malaysia incurred cumulative net operating losses which can be carried forward for a maximum period of seven consecutive years to offset future taxable income.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Indonesia</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UI and UMI are subject to Indonesia Corporate Tax on the taxable income as reported in its statutory financial statements adjusted in accordance with relevant Indonesia tax laws. The standard corporate income tax rate in Indonesia is 22%.</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75"/>
        <w:gridCol w:w="3650"/>
      </w:tblGrid>
      <w:tr>
        <w:trPr/>
        <w:tc>
          <w:tcPr>
            <w:tcW w:w="275" w:type="dxa"/>
            <w:tcBorders/>
            <w:vAlign w:val="center"/>
          </w:tcPr>
          <w:p>
            <w:pPr>
              <w:pStyle w:val="TableContents"/>
              <w:bidi w:val="0"/>
              <w:spacing w:before="0" w:after="283"/>
              <w:jc w:val="left"/>
              <w:rPr>
                <w:b/>
              </w:rPr>
            </w:pPr>
            <w:r>
              <w:rPr>
                <w:b/>
              </w:rPr>
              <w:t>27</w:t>
            </w:r>
          </w:p>
        </w:tc>
        <w:tc>
          <w:tcPr>
            <w:tcW w:w="3650" w:type="dxa"/>
            <w:tcBorders/>
            <w:vAlign w:val="center"/>
          </w:tcPr>
          <w:p>
            <w:pPr>
              <w:pStyle w:val="TableContents"/>
              <w:bidi w:val="0"/>
              <w:spacing w:before="0" w:after="283"/>
              <w:jc w:val="both"/>
              <w:rPr/>
            </w:pPr>
            <w:r>
              <w:rPr>
                <w:b/>
              </w:rPr>
              <w:t xml:space="preserve">INCOME TAX EXPENSES </w:t>
            </w:r>
            <w:r>
              <w:rPr/>
              <w:t>(cont.)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Japan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UJ subject to Japan Corporate Tax on the taxable income as reported in its statutory financial statements adjusted in accordance with relevant Japan tax laws. The standard corporate income tax rate in Japan is 23.2%. However, if the Company has a paid-up capital of JPY100 million or less, the tax rate will be 19% on the first JPY8 million and 23.2% on amount exceeding JPY8 million.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numerical reconciliation between the tax expense and the product of accounting (loss)/profit multiplied by the applicable tax rates of the Group are as follows:</w:t>
      </w:r>
    </w:p>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95"/>
        <w:gridCol w:w="60"/>
        <w:gridCol w:w="100"/>
        <w:gridCol w:w="771"/>
        <w:gridCol w:w="95"/>
        <w:gridCol w:w="60"/>
        <w:gridCol w:w="84"/>
        <w:gridCol w:w="794"/>
        <w:gridCol w:w="95"/>
        <w:gridCol w:w="60"/>
        <w:gridCol w:w="84"/>
        <w:gridCol w:w="794"/>
        <w:gridCol w:w="113"/>
      </w:tblGrid>
      <w:tr>
        <w:trPr/>
        <w:tc>
          <w:tcPr>
            <w:tcW w:w="7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b/>
              </w:rPr>
            </w:pPr>
            <w:r>
              <w:rPr>
                <w:b/>
              </w:rPr>
              <w:t>USD’000</w:t>
            </w:r>
          </w:p>
        </w:tc>
        <w:tc>
          <w:tcPr>
            <w:tcW w:w="113"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(Loss)/profit before income tax</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CCEEFF" w:val="clear"/>
            <w:tcMar>
              <w:bottom w:w="28" w:type="dxa"/>
            </w:tcMar>
            <w:vAlign w:val="center"/>
          </w:tcPr>
          <w:p>
            <w:pPr>
              <w:pStyle w:val="TableContents"/>
              <w:bidi w:val="0"/>
              <w:spacing w:before="0" w:after="283"/>
              <w:jc w:val="right"/>
              <w:rPr/>
            </w:pPr>
            <w:r>
              <w:rPr/>
              <w:t>(669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10" w:space="0" w:color="000000"/>
            </w:tcBorders>
            <w:shd w:fill="CCEEFF" w:val="clear"/>
            <w:tcMar>
              <w:bottom w:w="28" w:type="dxa"/>
            </w:tcMar>
            <w:vAlign w:val="center"/>
          </w:tcPr>
          <w:p>
            <w:pPr>
              <w:pStyle w:val="TableContents"/>
              <w:bidi w:val="0"/>
              <w:spacing w:before="0" w:after="283"/>
              <w:jc w:val="right"/>
              <w:rPr/>
            </w:pPr>
            <w:r>
              <w:rPr/>
              <w:t>5,683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10" w:space="0" w:color="000000"/>
            </w:tcBorders>
            <w:shd w:fill="CCEEFF" w:val="clear"/>
            <w:tcMar>
              <w:bottom w:w="28" w:type="dxa"/>
            </w:tcMar>
            <w:vAlign w:val="center"/>
          </w:tcPr>
          <w:p>
            <w:pPr>
              <w:pStyle w:val="TableContents"/>
              <w:bidi w:val="0"/>
              <w:spacing w:before="0" w:after="283"/>
              <w:jc w:val="right"/>
              <w:rPr/>
            </w:pPr>
            <w:r>
              <w:rPr/>
              <w:t>2,731</w:t>
            </w:r>
          </w:p>
        </w:tc>
        <w:tc>
          <w:tcPr>
            <w:tcW w:w="113"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Tax calculated at tax rate of 24% (June 30, 2023: 24%; June 30, 2024: 24%)</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1,364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656</w:t>
            </w:r>
          </w:p>
        </w:tc>
        <w:tc>
          <w:tcPr>
            <w:tcW w:w="113"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Effects of:</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 xml:space="preserve">– </w:t>
            </w:r>
            <w:r>
              <w:rPr/>
              <w:t>Different tax rate in other countries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(15</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7095" w:type="dxa"/>
            <w:tcBorders/>
            <w:shd w:fill="CCEEFF" w:val="clear"/>
            <w:vAlign w:val="center"/>
          </w:tcPr>
          <w:p>
            <w:pPr>
              <w:pStyle w:val="TableContents"/>
              <w:bidi w:val="0"/>
              <w:spacing w:before="0" w:after="283"/>
              <w:jc w:val="left"/>
              <w:rPr/>
            </w:pPr>
            <w:r>
              <w:rPr/>
              <w:t xml:space="preserve">– </w:t>
            </w:r>
            <w:r>
              <w:rPr/>
              <w:t>Deferred tax assets not recognized and, origination and reversal of temporary differences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 xml:space="preserve">– </w:t>
            </w:r>
            <w:r>
              <w:rPr/>
              <w:t>Utilization of previously unrecognized deferred tax assets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(39</w:t>
            </w:r>
          </w:p>
        </w:tc>
        <w:tc>
          <w:tcPr>
            <w:tcW w:w="113" w:type="dxa"/>
            <w:tcBorders/>
            <w:shd w:fill="FFFFFF" w:val="clear"/>
            <w:vAlign w:val="center"/>
          </w:tcPr>
          <w:p>
            <w:pPr>
              <w:pStyle w:val="TableContents"/>
              <w:bidi w:val="0"/>
              <w:spacing w:before="0" w:after="283"/>
              <w:jc w:val="left"/>
              <w:rPr/>
            </w:pPr>
            <w:r>
              <w:rPr/>
              <w:t>)</w:t>
            </w:r>
          </w:p>
        </w:tc>
      </w:tr>
      <w:tr>
        <w:trPr/>
        <w:tc>
          <w:tcPr>
            <w:tcW w:w="7095" w:type="dxa"/>
            <w:tcBorders/>
            <w:shd w:fill="CCEEFF" w:val="clear"/>
            <w:vAlign w:val="center"/>
          </w:tcPr>
          <w:p>
            <w:pPr>
              <w:pStyle w:val="TableContents"/>
              <w:bidi w:val="0"/>
              <w:spacing w:before="0" w:after="283"/>
              <w:jc w:val="left"/>
              <w:rPr/>
            </w:pPr>
            <w:r>
              <w:rPr/>
              <w:t xml:space="preserve">– </w:t>
            </w:r>
            <w:r>
              <w:rPr/>
              <w:t>Non-deductible expenses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401</w:t>
            </w:r>
          </w:p>
        </w:tc>
        <w:tc>
          <w:tcPr>
            <w:tcW w:w="113"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 xml:space="preserve">– </w:t>
            </w:r>
            <w:r>
              <w:rPr/>
              <w:t>Non-taxable income</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113" w:type="dxa"/>
            <w:tcBorders/>
            <w:shd w:fill="FFFFFF" w:val="clear"/>
            <w:vAlign w:val="center"/>
          </w:tcPr>
          <w:p>
            <w:pPr>
              <w:pStyle w:val="TableContents"/>
              <w:bidi w:val="0"/>
              <w:spacing w:before="0" w:after="283"/>
              <w:jc w:val="left"/>
              <w:rPr/>
            </w:pPr>
            <w:r>
              <w:rPr/>
              <w:t>)</w:t>
            </w:r>
          </w:p>
        </w:tc>
      </w:tr>
      <w:tr>
        <w:trPr/>
        <w:tc>
          <w:tcPr>
            <w:tcW w:w="7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CCEEFF" w:val="clear"/>
            <w:tcMar>
              <w:bottom w:w="28" w:type="dxa"/>
            </w:tcMar>
            <w:vAlign w:val="center"/>
          </w:tcPr>
          <w:p>
            <w:pPr>
              <w:pStyle w:val="TableContents"/>
              <w:bidi w:val="0"/>
              <w:spacing w:before="0" w:after="283"/>
              <w:jc w:val="right"/>
              <w:rPr/>
            </w:pPr>
            <w:r>
              <w:rPr/>
              <w:t>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10" w:space="0" w:color="000000"/>
            </w:tcBorders>
            <w:shd w:fill="CCEEFF" w:val="clear"/>
            <w:tcMar>
              <w:bottom w:w="28" w:type="dxa"/>
            </w:tcMar>
            <w:vAlign w:val="center"/>
          </w:tcPr>
          <w:p>
            <w:pPr>
              <w:pStyle w:val="TableContents"/>
              <w:bidi w:val="0"/>
              <w:spacing w:before="0" w:after="283"/>
              <w:jc w:val="right"/>
              <w:rPr/>
            </w:pPr>
            <w:r>
              <w:rPr/>
              <w:t>1,535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double" w:sz="10" w:space="0" w:color="000000"/>
            </w:tcBorders>
            <w:shd w:fill="CCEEFF" w:val="clear"/>
            <w:tcMar>
              <w:bottom w:w="28" w:type="dxa"/>
            </w:tcMar>
            <w:vAlign w:val="center"/>
          </w:tcPr>
          <w:p>
            <w:pPr>
              <w:pStyle w:val="TableContents"/>
              <w:bidi w:val="0"/>
              <w:spacing w:before="0" w:after="283"/>
              <w:jc w:val="right"/>
              <w:rPr/>
            </w:pPr>
            <w:r>
              <w:rPr/>
              <w:t>989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in multiple jurisdictions, some of which have enacted legislation to implement the Pillar Two rules. As of the reporting date, the Group has applied the mandatory exception from recognizing and disclosing information about deferred tax assets and liabilities related to Pillar Two income taxes, as permitted by IAS 12.</w:t>
      </w:r>
    </w:p>
    <w:p>
      <w:pPr>
        <w:pStyle w:val="TextBody"/>
        <w:bidi w:val="0"/>
        <w:spacing w:before="0" w:after="0"/>
        <w:ind w:left="480" w:right="0" w:hanging="48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283"/>
              <w:jc w:val="left"/>
              <w:rPr>
                <w:b/>
              </w:rPr>
            </w:pPr>
            <w:r>
              <w:rPr>
                <w:b/>
              </w:rPr>
              <w:t>28</w:t>
            </w:r>
          </w:p>
        </w:tc>
        <w:tc>
          <w:tcPr>
            <w:tcW w:w="1415" w:type="dxa"/>
            <w:tcBorders/>
            <w:vAlign w:val="center"/>
          </w:tcPr>
          <w:p>
            <w:pPr>
              <w:pStyle w:val="TableContents"/>
              <w:bidi w:val="0"/>
              <w:spacing w:before="0" w:after="283"/>
              <w:jc w:val="both"/>
              <w:rPr>
                <w:b/>
              </w:rPr>
            </w:pPr>
            <w:r>
              <w:rPr>
                <w:b/>
              </w:rPr>
              <w:t>DIVIDENDS</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74"/>
        <w:gridCol w:w="60"/>
        <w:gridCol w:w="67"/>
        <w:gridCol w:w="767"/>
        <w:gridCol w:w="60"/>
        <w:gridCol w:w="60"/>
        <w:gridCol w:w="101"/>
        <w:gridCol w:w="651"/>
        <w:gridCol w:w="60"/>
        <w:gridCol w:w="60"/>
        <w:gridCol w:w="64"/>
        <w:gridCol w:w="802"/>
        <w:gridCol w:w="79"/>
      </w:tblGrid>
      <w:tr>
        <w:trPr/>
        <w:tc>
          <w:tcPr>
            <w:tcW w:w="7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7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 w:type="dxa"/>
            <w:gridSpan w:val="2"/>
            <w:tcBorders/>
            <w:vAlign w:val="center"/>
          </w:tcPr>
          <w:p>
            <w:pPr>
              <w:pStyle w:val="TableContents"/>
              <w:bidi w:val="0"/>
              <w:spacing w:before="0" w:after="283"/>
              <w:jc w:val="center"/>
              <w:rPr>
                <w:b/>
              </w:rPr>
            </w:pPr>
            <w:r>
              <w:rPr>
                <w:b/>
              </w:rPr>
              <w:t>USD’000</w:t>
            </w:r>
          </w:p>
        </w:tc>
        <w:tc>
          <w:tcPr>
            <w:tcW w:w="79" w:type="dxa"/>
            <w:tcBorders/>
            <w:vAlign w:val="center"/>
          </w:tcPr>
          <w:p>
            <w:pPr>
              <w:pStyle w:val="TableContents"/>
              <w:bidi w:val="0"/>
              <w:spacing w:before="0" w:after="283"/>
              <w:jc w:val="left"/>
              <w:rPr/>
            </w:pPr>
            <w:r>
              <w:rPr/>
              <w:t> </w:t>
            </w:r>
          </w:p>
        </w:tc>
      </w:tr>
      <w:tr>
        <w:trPr/>
        <w:tc>
          <w:tcPr>
            <w:tcW w:w="7374" w:type="dxa"/>
            <w:tcBorders/>
            <w:vAlign w:val="center"/>
          </w:tcPr>
          <w:p>
            <w:pPr>
              <w:pStyle w:val="TableContents"/>
              <w:bidi w:val="0"/>
              <w:spacing w:before="0" w:after="283"/>
              <w:jc w:val="left"/>
              <w:rPr/>
            </w:pPr>
            <w:r>
              <w:rPr/>
              <w:t>For the financial year ended June 30, 2024:</w:t>
            </w:r>
          </w:p>
        </w:tc>
        <w:tc>
          <w:tcPr>
            <w:tcW w:w="60" w:type="dxa"/>
            <w:tcBorders/>
            <w:vAlign w:val="center"/>
          </w:tcPr>
          <w:p>
            <w:pPr>
              <w:pStyle w:val="TableContents"/>
              <w:bidi w:val="0"/>
              <w:spacing w:before="0" w:after="283"/>
              <w:jc w:val="left"/>
              <w:rPr/>
            </w:pPr>
            <w:r>
              <w:rPr/>
              <w:t> </w:t>
            </w:r>
          </w:p>
        </w:tc>
        <w:tc>
          <w:tcPr>
            <w:tcW w:w="8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ind w:left="0" w:right="0" w:hanging="180"/>
              <w:jc w:val="left"/>
              <w:rPr/>
            </w:pPr>
            <w:r>
              <w:rPr/>
              <w:t> </w:t>
            </w:r>
          </w:p>
        </w:tc>
      </w:tr>
      <w:tr>
        <w:trPr/>
        <w:tc>
          <w:tcPr>
            <w:tcW w:w="7374" w:type="dxa"/>
            <w:tcBorders/>
            <w:shd w:fill="CCEEFF" w:val="clear"/>
            <w:vAlign w:val="center"/>
          </w:tcPr>
          <w:p>
            <w:pPr>
              <w:pStyle w:val="TableContents"/>
              <w:bidi w:val="0"/>
              <w:spacing w:before="0" w:after="283"/>
              <w:jc w:val="left"/>
              <w:rPr/>
            </w:pPr>
            <w:r>
              <w:rPr/>
              <w:t>Interim single-tier dividend of RM0.79 (USD0.17) based on 3,000,000 ordinary shares, declared on April 3, 2024 and paid on April 15, 2024</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1" w:type="dxa"/>
            <w:tcBorders>
              <w:bottom w:val="double" w:sz="10" w:space="0" w:color="000000"/>
            </w:tcBorders>
            <w:shd w:fill="CCEEFF" w:val="clear"/>
            <w:tcMar>
              <w:bottom w:w="28" w:type="dxa"/>
            </w:tcMar>
            <w:vAlign w:val="center"/>
          </w:tcPr>
          <w:p>
            <w:pPr>
              <w:pStyle w:val="TableContents"/>
              <w:bidi w:val="0"/>
              <w:spacing w:before="0" w:after="283"/>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7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7374" w:type="dxa"/>
            <w:tcBorders/>
            <w:shd w:fill="CCEEFF" w:val="clear"/>
            <w:vAlign w:val="center"/>
          </w:tcPr>
          <w:p>
            <w:pPr>
              <w:pStyle w:val="TableContents"/>
              <w:bidi w:val="0"/>
              <w:spacing w:before="0" w:after="283"/>
              <w:jc w:val="left"/>
              <w:rPr/>
            </w:pPr>
            <w:r>
              <w:rPr/>
              <w:t>For the financial year ended June 30, 2023: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7374" w:type="dxa"/>
            <w:tcBorders/>
            <w:shd w:fill="FFFFFF" w:val="clear"/>
            <w:vAlign w:val="center"/>
          </w:tcPr>
          <w:p>
            <w:pPr>
              <w:pStyle w:val="TableContents"/>
              <w:bidi w:val="0"/>
              <w:spacing w:before="0" w:after="283"/>
              <w:jc w:val="left"/>
              <w:rPr/>
            </w:pPr>
            <w:r>
              <w:rPr/>
              <w:t>Interim single-tier dividend of IDR100,000 (USD6.66) based on 20,000 ordinary shares, declared on December 22, 2022 and paid on December 30, 2022</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double" w:sz="10" w:space="0" w:color="000000"/>
            </w:tcBorders>
            <w:shd w:fill="FFFFFF" w:val="clear"/>
            <w:tcMar>
              <w:bottom w:w="28" w:type="dxa"/>
            </w:tcMar>
            <w:vAlign w:val="center"/>
          </w:tcPr>
          <w:p>
            <w:pPr>
              <w:pStyle w:val="TableContents"/>
              <w:bidi w:val="0"/>
              <w:spacing w:before="0" w:after="283"/>
              <w:jc w:val="right"/>
              <w:rPr/>
            </w:pPr>
            <w:r>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180" w:type="dxa"/>
        <w:jc w:val="left"/>
        <w:tblInd w:w="0" w:type="dxa"/>
        <w:tblLayout w:type="fixed"/>
        <w:tblCellMar>
          <w:top w:w="0" w:type="dxa"/>
          <w:left w:w="0" w:type="dxa"/>
          <w:bottom w:w="0" w:type="dxa"/>
          <w:right w:w="0" w:type="dxa"/>
        </w:tblCellMar>
      </w:tblPr>
      <w:tblGrid>
        <w:gridCol w:w="275"/>
        <w:gridCol w:w="3905"/>
      </w:tblGrid>
      <w:tr>
        <w:trPr/>
        <w:tc>
          <w:tcPr>
            <w:tcW w:w="275" w:type="dxa"/>
            <w:tcBorders/>
            <w:vAlign w:val="center"/>
          </w:tcPr>
          <w:p>
            <w:pPr>
              <w:pStyle w:val="TableContents"/>
              <w:bidi w:val="0"/>
              <w:spacing w:before="0" w:after="283"/>
              <w:jc w:val="left"/>
              <w:rPr>
                <w:b/>
              </w:rPr>
            </w:pPr>
            <w:r>
              <w:rPr>
                <w:b/>
              </w:rPr>
              <w:t>29</w:t>
            </w:r>
          </w:p>
        </w:tc>
        <w:tc>
          <w:tcPr>
            <w:tcW w:w="3905" w:type="dxa"/>
            <w:tcBorders/>
            <w:vAlign w:val="center"/>
          </w:tcPr>
          <w:p>
            <w:pPr>
              <w:pStyle w:val="TableContents"/>
              <w:bidi w:val="0"/>
              <w:spacing w:before="0" w:after="283"/>
              <w:jc w:val="both"/>
              <w:rPr>
                <w:b/>
              </w:rPr>
            </w:pPr>
            <w:r>
              <w:rPr>
                <w:b/>
              </w:rPr>
              <w:t>EMPLOYEE BENEFIT EXPENSES</w:t>
            </w:r>
          </w:p>
        </w:tc>
      </w:tr>
    </w:tbl>
    <w:p>
      <w:pPr>
        <w:pStyle w:val="TextBody"/>
        <w:bidi w:val="0"/>
        <w:spacing w:before="0" w:after="283"/>
        <w:jc w:val="left"/>
        <w:rPr/>
      </w:pPr>
      <w:r>
        <w:rPr/>
        <w:t> </w:t>
      </w:r>
    </w:p>
    <w:tbl>
      <w:tblPr>
        <w:tblW w:w="7307" w:type="dxa"/>
        <w:jc w:val="left"/>
        <w:tblInd w:w="0" w:type="dxa"/>
        <w:tblLayout w:type="fixed"/>
        <w:tblCellMar>
          <w:top w:w="0" w:type="dxa"/>
          <w:left w:w="0" w:type="dxa"/>
          <w:bottom w:w="0" w:type="dxa"/>
          <w:right w:w="0" w:type="dxa"/>
        </w:tblCellMar>
      </w:tblPr>
      <w:tblGrid>
        <w:gridCol w:w="4085"/>
        <w:gridCol w:w="60"/>
        <w:gridCol w:w="91"/>
        <w:gridCol w:w="858"/>
        <w:gridCol w:w="60"/>
        <w:gridCol w:w="60"/>
        <w:gridCol w:w="91"/>
        <w:gridCol w:w="858"/>
        <w:gridCol w:w="60"/>
        <w:gridCol w:w="60"/>
        <w:gridCol w:w="91"/>
        <w:gridCol w:w="858"/>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Salaries, wages and bonuses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2,491</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Contributions to defined contribution plans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116</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Post-employment benefits (Note 18)</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Social security contributions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2,736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employee benefit expenses amounts are recognized during the year.</w:t>
      </w:r>
    </w:p>
    <w:p>
      <w:pPr>
        <w:pStyle w:val="TextBody"/>
        <w:bidi w:val="0"/>
        <w:spacing w:before="0" w:after="0"/>
        <w:ind w:left="0" w:right="0" w:hanging="0"/>
        <w:jc w:val="both"/>
        <w:rPr>
          <w:caps w:val="false"/>
          <w:smallCaps w:val="false"/>
        </w:rPr>
      </w:pPr>
      <w:r>
        <w:rPr>
          <w:caps w:val="false"/>
          <w:smallCaps w:val="false"/>
        </w:rPr>
        <w:t> </w:t>
      </w:r>
    </w:p>
    <w:tbl>
      <w:tblPr>
        <w:tblW w:w="6542" w:type="dxa"/>
        <w:jc w:val="left"/>
        <w:tblInd w:w="0" w:type="dxa"/>
        <w:tblLayout w:type="fixed"/>
        <w:tblCellMar>
          <w:top w:w="0" w:type="dxa"/>
          <w:left w:w="0" w:type="dxa"/>
          <w:bottom w:w="0" w:type="dxa"/>
          <w:right w:w="0" w:type="dxa"/>
        </w:tblCellMar>
      </w:tblPr>
      <w:tblGrid>
        <w:gridCol w:w="3320"/>
        <w:gridCol w:w="60"/>
        <w:gridCol w:w="91"/>
        <w:gridCol w:w="858"/>
        <w:gridCol w:w="60"/>
        <w:gridCol w:w="60"/>
        <w:gridCol w:w="91"/>
        <w:gridCol w:w="858"/>
        <w:gridCol w:w="60"/>
        <w:gridCol w:w="60"/>
        <w:gridCol w:w="91"/>
        <w:gridCol w:w="858"/>
        <w:gridCol w:w="7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Cost of goods sold (Note 23)</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1,213</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Administrative expenses (Note 24)</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1,523</w:t>
            </w:r>
          </w:p>
        </w:tc>
        <w:tc>
          <w:tcPr>
            <w:tcW w:w="75"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1,791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2,736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275"/>
        <w:gridCol w:w="5840"/>
      </w:tblGrid>
      <w:tr>
        <w:trPr/>
        <w:tc>
          <w:tcPr>
            <w:tcW w:w="275" w:type="dxa"/>
            <w:tcBorders/>
            <w:vAlign w:val="center"/>
          </w:tcPr>
          <w:p>
            <w:pPr>
              <w:pStyle w:val="TableContents"/>
              <w:bidi w:val="0"/>
              <w:spacing w:before="0" w:after="283"/>
              <w:jc w:val="left"/>
              <w:rPr>
                <w:b/>
              </w:rPr>
            </w:pPr>
            <w:r>
              <w:rPr>
                <w:b/>
              </w:rPr>
              <w:t>30</w:t>
            </w:r>
          </w:p>
        </w:tc>
        <w:tc>
          <w:tcPr>
            <w:tcW w:w="5840" w:type="dxa"/>
            <w:tcBorders/>
            <w:vAlign w:val="center"/>
          </w:tcPr>
          <w:p>
            <w:pPr>
              <w:pStyle w:val="TableContents"/>
              <w:bidi w:val="0"/>
              <w:spacing w:before="0" w:after="283"/>
              <w:jc w:val="both"/>
              <w:rPr>
                <w:b/>
              </w:rPr>
            </w:pPr>
            <w:r>
              <w:rPr>
                <w:b/>
              </w:rPr>
              <w:t>SIGNIFICANT RELATED PARTY TRANSACTIONS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relationships with related parties:</w:t>
      </w:r>
    </w:p>
    <w:p>
      <w:pPr>
        <w:pStyle w:val="TextBody"/>
        <w:bidi w:val="0"/>
        <w:spacing w:before="0" w:after="0"/>
        <w:ind w:left="48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28" w:type="dxa"/>
          <w:right w:w="0" w:type="dxa"/>
        </w:tblCellMar>
      </w:tblPr>
      <w:tblGrid>
        <w:gridCol w:w="2660"/>
        <w:gridCol w:w="60"/>
        <w:gridCol w:w="5525"/>
      </w:tblGrid>
      <w:tr>
        <w:trPr/>
        <w:tc>
          <w:tcPr>
            <w:tcW w:w="266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Company and Group of entities</w:t>
            </w:r>
          </w:p>
        </w:tc>
      </w:tr>
      <w:tr>
        <w:trPr/>
        <w:tc>
          <w:tcPr>
            <w:tcW w:w="2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Armstrong Machinery Sdn. Bhd.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shd w:fill="CCEEFF" w:val="clear"/>
            <w:tcMar>
              <w:bottom w:w="0" w:type="dxa"/>
            </w:tcMar>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Mr. Wong Kok Seng, has an equity interest</w:t>
            </w:r>
          </w:p>
        </w:tc>
      </w:tr>
      <w:tr>
        <w:trPr/>
        <w:tc>
          <w:tcPr>
            <w:tcW w:w="2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Ultratrex Holdings Sdn. Bhd.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shd w:fill="FFFFFF" w:val="clear"/>
            <w:tcMar>
              <w:bottom w:w="0" w:type="dxa"/>
            </w:tcMar>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Mr. Halim, Mr. Wong Kok Seng, have an equity interest</w:t>
            </w:r>
          </w:p>
        </w:tc>
      </w:tr>
      <w:tr>
        <w:trPr/>
        <w:tc>
          <w:tcPr>
            <w:tcW w:w="2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SAP Capital Pte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shd w:fill="CCEEFF" w:val="clear"/>
            <w:tcMar>
              <w:bottom w:w="0" w:type="dxa"/>
            </w:tcMar>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Mr. Halim is a Director and has an equity interest</w:t>
            </w:r>
          </w:p>
        </w:tc>
      </w:tr>
      <w:tr>
        <w:trPr/>
        <w:tc>
          <w:tcPr>
            <w:tcW w:w="2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Ultrator Co.,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shd w:fill="FFFFFF" w:val="clear"/>
            <w:tcMar>
              <w:bottom w:w="0" w:type="dxa"/>
            </w:tcMar>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Mr. Halim is a Director and has an equity interest</w:t>
            </w:r>
          </w:p>
        </w:tc>
      </w:tr>
      <w:tr>
        <w:trPr/>
        <w:tc>
          <w:tcPr>
            <w:tcW w:w="2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Salim Podiono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Related party transactions: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in addition to the information disclosed elsewhere in these consolidated financial statements, the Group entities and the Company entered into the following transactions with related parties at rates and terms agreed between the parties as follows:</w:t>
      </w:r>
    </w:p>
    <w:p>
      <w:pPr>
        <w:pStyle w:val="TextBody"/>
        <w:bidi w:val="0"/>
        <w:spacing w:before="0" w:after="0"/>
        <w:ind w:left="480" w:right="0" w:hanging="0"/>
        <w:jc w:val="both"/>
        <w:rPr>
          <w:caps w:val="false"/>
          <w:smallCaps w:val="false"/>
        </w:rPr>
      </w:pPr>
      <w:r>
        <w:rPr>
          <w:caps w:val="false"/>
          <w:smallCaps w:val="false"/>
        </w:rPr>
        <w:t> </w:t>
      </w:r>
    </w:p>
    <w:tbl>
      <w:tblPr>
        <w:tblW w:w="8067" w:type="dxa"/>
        <w:jc w:val="left"/>
        <w:tblInd w:w="0" w:type="dxa"/>
        <w:tblLayout w:type="fixed"/>
        <w:tblCellMar>
          <w:top w:w="0" w:type="dxa"/>
          <w:left w:w="0" w:type="dxa"/>
          <w:bottom w:w="28" w:type="dxa"/>
          <w:right w:w="0" w:type="dxa"/>
        </w:tblCellMar>
      </w:tblPr>
      <w:tblGrid>
        <w:gridCol w:w="2660"/>
        <w:gridCol w:w="60"/>
        <w:gridCol w:w="830"/>
        <w:gridCol w:w="60"/>
        <w:gridCol w:w="1775"/>
        <w:gridCol w:w="60"/>
        <w:gridCol w:w="115"/>
        <w:gridCol w:w="654"/>
        <w:gridCol w:w="60"/>
        <w:gridCol w:w="60"/>
        <w:gridCol w:w="84"/>
        <w:gridCol w:w="685"/>
        <w:gridCol w:w="60"/>
        <w:gridCol w:w="60"/>
        <w:gridCol w:w="115"/>
        <w:gridCol w:w="654"/>
        <w:gridCol w:w="75"/>
      </w:tblGrid>
      <w:tr>
        <w:trPr/>
        <w:tc>
          <w:tcPr>
            <w:tcW w:w="266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2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USD’000</w:t>
            </w:r>
          </w:p>
        </w:tc>
        <w:tc>
          <w:tcPr>
            <w:tcW w:w="75" w:type="dxa"/>
            <w:tcBorders/>
            <w:tcMar>
              <w:bottom w:w="0" w:type="dxa"/>
            </w:tcMar>
            <w:vAlign w:val="center"/>
          </w:tcPr>
          <w:p>
            <w:pPr>
              <w:pStyle w:val="TableContents"/>
              <w:bidi w:val="0"/>
              <w:spacing w:before="0" w:after="283"/>
              <w:jc w:val="left"/>
              <w:rPr/>
            </w:pPr>
            <w:r>
              <w:rPr/>
              <w:t> </w:t>
            </w:r>
          </w:p>
        </w:tc>
      </w:tr>
      <w:tr>
        <w:trPr/>
        <w:tc>
          <w:tcPr>
            <w:tcW w:w="26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Armstrong Machinery Sdn. Bhd.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goods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SAP Capital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goods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Ultrator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goods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right"/>
              <w:rPr/>
            </w:pPr>
            <w:r>
              <w:rPr/>
              <w:t>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SAP Capital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Non-trade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Technical support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Salim Podiono</w:t>
            </w:r>
            <w:r>
              <w:rPr>
                <w:rFonts w:ascii="Times New Roman;Times;Serif" w:hAnsi="Times New Roman;Times;Serif"/>
                <w:position w:val="7"/>
                <w:sz w:val="16"/>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Non-trade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6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6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Salim Podiono</w:t>
            </w:r>
            <w:r>
              <w:rPr>
                <w:rFonts w:ascii="Times New Roman;Times;Serif" w:hAnsi="Times New Roman;Times;Serif"/>
                <w:position w:val="7"/>
                <w:sz w:val="16"/>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Non-trade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68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6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ind w:left="480" w:right="0" w:hanging="480"/>
        <w:jc w:val="left"/>
        <w:rPr>
          <w:bdr w:val="single" w:sz="12" w:space="1" w:color="000000"/>
        </w:rPr>
      </w:pPr>
      <w:r>
        <w:rPr>
          <w:bdr w:val="single" w:sz="12" w:space="1" w:color="000000"/>
        </w:rPr>
        <w:t> </w:t>
      </w:r>
    </w:p>
    <w:tbl>
      <w:tblPr>
        <w:tblW w:w="4968" w:type="dxa"/>
        <w:jc w:val="left"/>
        <w:tblInd w:w="0" w:type="dxa"/>
        <w:tblLayout w:type="fixed"/>
        <w:tblCellMar>
          <w:top w:w="0" w:type="dxa"/>
          <w:left w:w="0" w:type="dxa"/>
          <w:bottom w:w="0" w:type="dxa"/>
          <w:right w:w="0" w:type="dxa"/>
        </w:tblCellMar>
      </w:tblPr>
      <w:tblGrid>
        <w:gridCol w:w="38"/>
        <w:gridCol w:w="14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i/>
              </w:rPr>
            </w:pPr>
            <w:r>
              <w:rPr>
                <w:i/>
              </w:rPr>
              <w:t>*</w:t>
            </w:r>
          </w:p>
        </w:tc>
        <w:tc>
          <w:tcPr>
            <w:tcW w:w="4790" w:type="dxa"/>
            <w:tcBorders/>
            <w:vAlign w:val="center"/>
          </w:tcPr>
          <w:p>
            <w:pPr>
              <w:pStyle w:val="TableContents"/>
              <w:bidi w:val="0"/>
              <w:spacing w:before="0" w:after="283"/>
              <w:jc w:val="both"/>
              <w:rPr>
                <w:i/>
              </w:rPr>
            </w:pPr>
            <w:r>
              <w:rPr>
                <w:i/>
              </w:rPr>
              <w:t>Amount is insignificant and lesser than USD1,000</w:t>
            </w:r>
          </w:p>
        </w:tc>
      </w:tr>
    </w:tbl>
    <w:p>
      <w:pPr>
        <w:pStyle w:val="TextBody"/>
        <w:bidi w:val="0"/>
        <w:spacing w:before="0" w:after="0"/>
        <w:ind w:left="960" w:right="0" w:hanging="48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7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430" w:type="dxa"/>
            <w:tcBorders/>
            <w:vAlign w:val="center"/>
          </w:tcPr>
          <w:p>
            <w:pPr>
              <w:pStyle w:val="TableContents"/>
              <w:bidi w:val="0"/>
              <w:spacing w:before="0" w:after="283"/>
              <w:jc w:val="both"/>
              <w:rPr/>
            </w:pPr>
            <w:r>
              <w:rPr/>
              <w:t>Salim Podiono</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2023, PT Ultratrex Machinery Indonesia entered into a lease agreement with Salim Podiono to rent the warehouse and factory at Jalan Jombor-Pokak, RT. 01/RW.01, Jombor Sub-district, Ceper District, Klaten Regency, Central Java Province, Indonesia from Mr. Salim for a total rental of USD141,255 (equivalent to IDR2,222,222,222) per month for the first year and increase to USD211,883 (equivalent to IDR3,333,333,333) for the next 4 years.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2023, PT Ultratrex Indonesia entered into a lease agreement with Salim Podiono to rent the land at Jalan Jombor-Pokak RT/RW 01/01, Klaten, Central Java, Indonesia from Mr. Salim for a total rental of USD47,085 (equivalent to IDR740,740,740) for 16 months.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assets and lease liabilities were disclosed in Note 5 to the consolidated financial statements.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6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30</w:t>
            </w:r>
          </w:p>
        </w:tc>
        <w:tc>
          <w:tcPr>
            <w:tcW w:w="6515" w:type="dxa"/>
            <w:tcBorders/>
            <w:vAlign w:val="center"/>
          </w:tcPr>
          <w:p>
            <w:pPr>
              <w:pStyle w:val="TableContents"/>
              <w:bidi w:val="0"/>
              <w:spacing w:before="0" w:after="283"/>
              <w:jc w:val="both"/>
              <w:rPr/>
            </w:pPr>
            <w:r>
              <w:rPr>
                <w:b/>
              </w:rPr>
              <w:t xml:space="preserve">SIGNIFICANT RELATED PARTY TRANSACTIONS </w:t>
            </w:r>
            <w:r>
              <w:rPr/>
              <w:t>(cont.)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with related parties as at June 30, 2023, 2024 and 2025 are as follows:</w:t>
      </w:r>
    </w:p>
    <w:p>
      <w:pPr>
        <w:pStyle w:val="TextBody"/>
        <w:bidi w:val="0"/>
        <w:spacing w:before="0" w:after="0"/>
        <w:ind w:left="480" w:right="0" w:hanging="0"/>
        <w:jc w:val="both"/>
        <w:rPr>
          <w:caps w:val="false"/>
          <w:smallCaps w:val="false"/>
        </w:rPr>
      </w:pPr>
      <w:r>
        <w:rPr>
          <w:caps w:val="false"/>
          <w:smallCaps w:val="false"/>
        </w:rPr>
        <w:t> </w:t>
      </w:r>
    </w:p>
    <w:tbl>
      <w:tblPr>
        <w:tblW w:w="7852" w:type="dxa"/>
        <w:jc w:val="left"/>
        <w:tblInd w:w="0" w:type="dxa"/>
        <w:tblLayout w:type="fixed"/>
        <w:tblCellMar>
          <w:top w:w="0" w:type="dxa"/>
          <w:left w:w="0" w:type="dxa"/>
          <w:bottom w:w="0" w:type="dxa"/>
          <w:right w:w="0" w:type="dxa"/>
        </w:tblCellMar>
      </w:tblPr>
      <w:tblGrid>
        <w:gridCol w:w="3215"/>
        <w:gridCol w:w="60"/>
        <w:gridCol w:w="1250"/>
        <w:gridCol w:w="60"/>
        <w:gridCol w:w="109"/>
        <w:gridCol w:w="840"/>
        <w:gridCol w:w="95"/>
        <w:gridCol w:w="60"/>
        <w:gridCol w:w="109"/>
        <w:gridCol w:w="840"/>
        <w:gridCol w:w="95"/>
        <w:gridCol w:w="60"/>
        <w:gridCol w:w="82"/>
        <w:gridCol w:w="867"/>
        <w:gridCol w:w="11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Nature of </w:t>
              <w:br/>
              <w:t>transactions</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i/>
              </w:rPr>
            </w:pPr>
            <w:r>
              <w:rPr>
                <w:i/>
              </w:rPr>
              <w:t>Amounts due from related parties</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Armstrong Machinery Sdn Bhd</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Trade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Ultratrex Holdings Sdn. Bhd.</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Non-trade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SAP Capital Pte Ltd</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Non-trade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Ultrator Co., Ltd</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Non-trade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i/>
              </w:rPr>
            </w:pPr>
            <w:r>
              <w:rPr>
                <w:i/>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SAP Capital Pte Ltd</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Trade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Ultrator Co., Ltd</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Trade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3215" w:type="dxa"/>
            <w:tcBorders/>
            <w:shd w:fill="CCEEFF" w:val="clear"/>
            <w:vAlign w:val="center"/>
          </w:tcPr>
          <w:p>
            <w:pPr>
              <w:pStyle w:val="TableContents"/>
              <w:bidi w:val="0"/>
              <w:spacing w:before="0" w:after="283"/>
              <w:jc w:val="left"/>
              <w:rPr/>
            </w:pPr>
            <w:r>
              <w:rPr/>
              <w:t>Halim Podiono</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Non-trade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Yoshie Irie</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Non-trade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i/>
              </w:rPr>
            </w:pPr>
            <w:r>
              <w:rPr>
                <w:i/>
              </w:rPr>
              <w:t>Amounts due to shareholders</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Halim Podiono</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Non-trade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(1,047</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Salim Podiono</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Non-trade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(414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(679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968" w:type="dxa"/>
        <w:jc w:val="left"/>
        <w:tblInd w:w="0" w:type="dxa"/>
        <w:tblLayout w:type="fixed"/>
        <w:tblCellMar>
          <w:top w:w="0" w:type="dxa"/>
          <w:left w:w="0" w:type="dxa"/>
          <w:bottom w:w="0" w:type="dxa"/>
          <w:right w:w="0" w:type="dxa"/>
        </w:tblCellMar>
      </w:tblPr>
      <w:tblGrid>
        <w:gridCol w:w="38"/>
        <w:gridCol w:w="140"/>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i/>
              </w:rPr>
            </w:pPr>
            <w:r>
              <w:rPr>
                <w:i/>
              </w:rPr>
              <w:t>*</w:t>
            </w:r>
          </w:p>
        </w:tc>
        <w:tc>
          <w:tcPr>
            <w:tcW w:w="4790" w:type="dxa"/>
            <w:tcBorders/>
            <w:vAlign w:val="center"/>
          </w:tcPr>
          <w:p>
            <w:pPr>
              <w:pStyle w:val="TableContents"/>
              <w:bidi w:val="0"/>
              <w:spacing w:before="0" w:after="283"/>
              <w:jc w:val="both"/>
              <w:rPr>
                <w:i/>
              </w:rPr>
            </w:pPr>
            <w:r>
              <w:rPr>
                <w:i/>
              </w:rPr>
              <w:t>Amount is insignificant and lesser than USD1,000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key management personnel</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personnel are those persons having the authority and responsibility for planning, directing and controlling the activities of the Group, directly and indirectly, including any Director (whether executive or otherwise) of the Group.</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of the Directors of the Group during the financial year were as follows:</w:t>
      </w:r>
    </w:p>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74"/>
        <w:gridCol w:w="60"/>
        <w:gridCol w:w="101"/>
        <w:gridCol w:w="650"/>
        <w:gridCol w:w="60"/>
        <w:gridCol w:w="60"/>
        <w:gridCol w:w="101"/>
        <w:gridCol w:w="650"/>
        <w:gridCol w:w="60"/>
        <w:gridCol w:w="60"/>
        <w:gridCol w:w="101"/>
        <w:gridCol w:w="650"/>
        <w:gridCol w:w="78"/>
      </w:tblGrid>
      <w:tr>
        <w:trPr/>
        <w:tc>
          <w:tcPr>
            <w:tcW w:w="7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75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center"/>
              <w:rPr>
                <w:b/>
              </w:rPr>
            </w:pPr>
            <w:r>
              <w:rPr>
                <w:b/>
              </w:rPr>
              <w:t>USD’000</w:t>
            </w:r>
          </w:p>
        </w:tc>
        <w:tc>
          <w:tcPr>
            <w:tcW w:w="78" w:type="dxa"/>
            <w:tcBorders/>
            <w:vAlign w:val="center"/>
          </w:tcPr>
          <w:p>
            <w:pPr>
              <w:pStyle w:val="TableContents"/>
              <w:bidi w:val="0"/>
              <w:spacing w:before="0" w:after="283"/>
              <w:ind w:left="0" w:right="0" w:hanging="720"/>
              <w:jc w:val="left"/>
              <w:rPr/>
            </w:pPr>
            <w:r>
              <w:rPr/>
              <w:t> </w:t>
            </w:r>
          </w:p>
        </w:tc>
      </w:tr>
      <w:tr>
        <w:trPr/>
        <w:tc>
          <w:tcPr>
            <w:tcW w:w="7574" w:type="dxa"/>
            <w:tcBorders/>
            <w:vAlign w:val="center"/>
          </w:tcPr>
          <w:p>
            <w:pPr>
              <w:pStyle w:val="TableContents"/>
              <w:bidi w:val="0"/>
              <w:spacing w:before="0" w:after="283"/>
              <w:jc w:val="left"/>
              <w:rPr>
                <w:b/>
              </w:rPr>
            </w:pPr>
            <w:r>
              <w:rPr>
                <w:b/>
              </w:rPr>
              <w:t>Key management personnel of the Group (including Director’s remuneration)</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574" w:type="dxa"/>
            <w:tcBorders/>
            <w:shd w:fill="CCEEFF" w:val="clear"/>
            <w:vAlign w:val="center"/>
          </w:tcPr>
          <w:p>
            <w:pPr>
              <w:pStyle w:val="TableContents"/>
              <w:bidi w:val="0"/>
              <w:spacing w:before="0" w:after="283"/>
              <w:jc w:val="left"/>
              <w:rPr/>
            </w:pPr>
            <w:r>
              <w:rPr/>
              <w:t>Salaries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165</w:t>
            </w:r>
          </w:p>
        </w:tc>
        <w:tc>
          <w:tcPr>
            <w:tcW w:w="78"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pPr>
            <w:r>
              <w:rPr/>
              <w:t>Bonuses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80</w:t>
            </w:r>
          </w:p>
        </w:tc>
        <w:tc>
          <w:tcPr>
            <w:tcW w:w="78" w:type="dxa"/>
            <w:tcBorders/>
            <w:shd w:fill="FFFFFF" w:val="clear"/>
            <w:vAlign w:val="center"/>
          </w:tcPr>
          <w:p>
            <w:pPr>
              <w:pStyle w:val="TableContents"/>
              <w:bidi w:val="0"/>
              <w:spacing w:before="0" w:after="283"/>
              <w:jc w:val="left"/>
              <w:rPr/>
            </w:pPr>
            <w:r>
              <w:rPr/>
              <w:t> </w:t>
            </w:r>
          </w:p>
        </w:tc>
      </w:tr>
      <w:tr>
        <w:trPr/>
        <w:tc>
          <w:tcPr>
            <w:tcW w:w="7574" w:type="dxa"/>
            <w:tcBorders/>
            <w:shd w:fill="CCEEFF" w:val="clear"/>
            <w:vAlign w:val="center"/>
          </w:tcPr>
          <w:p>
            <w:pPr>
              <w:pStyle w:val="TableContents"/>
              <w:bidi w:val="0"/>
              <w:spacing w:before="0" w:after="283"/>
              <w:jc w:val="left"/>
              <w:rPr/>
            </w:pPr>
            <w:r>
              <w:rPr/>
              <w:t>Allowances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80</w:t>
            </w:r>
          </w:p>
        </w:tc>
        <w:tc>
          <w:tcPr>
            <w:tcW w:w="78"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pPr>
            <w:r>
              <w:rPr/>
              <w:t>Contributions to defined contribution plans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78" w:type="dxa"/>
            <w:tcBorders/>
            <w:shd w:fill="FFFFFF" w:val="clear"/>
            <w:vAlign w:val="center"/>
          </w:tcPr>
          <w:p>
            <w:pPr>
              <w:pStyle w:val="TableContents"/>
              <w:bidi w:val="0"/>
              <w:spacing w:before="0" w:after="283"/>
              <w:jc w:val="left"/>
              <w:rPr/>
            </w:pPr>
            <w:r>
              <w:rPr/>
              <w:t> </w:t>
            </w:r>
          </w:p>
        </w:tc>
      </w:tr>
      <w:tr>
        <w:trPr/>
        <w:tc>
          <w:tcPr>
            <w:tcW w:w="7574"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pPr>
            <w:r>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pPr>
            <w:r>
              <w:rPr/>
              <w:t>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pPr>
            <w:r>
              <w:rPr/>
              <w:t>350</w:t>
            </w:r>
          </w:p>
        </w:tc>
        <w:tc>
          <w:tcPr>
            <w:tcW w:w="78"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7574" w:type="dxa"/>
            <w:tcBorders/>
            <w:shd w:fill="CCEEFF" w:val="clear"/>
            <w:vAlign w:val="center"/>
          </w:tcPr>
          <w:p>
            <w:pPr>
              <w:pStyle w:val="TableContents"/>
              <w:bidi w:val="0"/>
              <w:spacing w:before="0" w:after="283"/>
              <w:jc w:val="left"/>
              <w:rPr>
                <w:b/>
              </w:rPr>
            </w:pPr>
            <w:r>
              <w:rPr>
                <w:b/>
              </w:rPr>
              <w:t>Key management personnel of the subsidiaries (including Directors of the subsidiaries’ remuneration, other than disclosed in the KMP of the Group)</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pPr>
            <w:r>
              <w:rPr/>
              <w:t>Salaries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93</w:t>
            </w:r>
          </w:p>
        </w:tc>
        <w:tc>
          <w:tcPr>
            <w:tcW w:w="78" w:type="dxa"/>
            <w:tcBorders/>
            <w:shd w:fill="FFFFFF" w:val="clear"/>
            <w:vAlign w:val="center"/>
          </w:tcPr>
          <w:p>
            <w:pPr>
              <w:pStyle w:val="TableContents"/>
              <w:bidi w:val="0"/>
              <w:spacing w:before="0" w:after="283"/>
              <w:jc w:val="left"/>
              <w:rPr/>
            </w:pPr>
            <w:r>
              <w:rPr/>
              <w:t> </w:t>
            </w:r>
          </w:p>
        </w:tc>
      </w:tr>
      <w:tr>
        <w:trPr/>
        <w:tc>
          <w:tcPr>
            <w:tcW w:w="7574" w:type="dxa"/>
            <w:tcBorders/>
            <w:shd w:fill="CCEEFF" w:val="clear"/>
            <w:vAlign w:val="center"/>
          </w:tcPr>
          <w:p>
            <w:pPr>
              <w:pStyle w:val="TableContents"/>
              <w:bidi w:val="0"/>
              <w:spacing w:before="0" w:after="283"/>
              <w:jc w:val="left"/>
              <w:rPr/>
            </w:pPr>
            <w:r>
              <w:rPr/>
              <w:t>Bonuses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14</w:t>
            </w:r>
          </w:p>
        </w:tc>
        <w:tc>
          <w:tcPr>
            <w:tcW w:w="78"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pPr>
            <w:r>
              <w:rPr/>
              <w:t>Allowances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22</w:t>
            </w:r>
          </w:p>
        </w:tc>
        <w:tc>
          <w:tcPr>
            <w:tcW w:w="78" w:type="dxa"/>
            <w:tcBorders/>
            <w:shd w:fill="FFFFFF" w:val="clear"/>
            <w:vAlign w:val="center"/>
          </w:tcPr>
          <w:p>
            <w:pPr>
              <w:pStyle w:val="TableContents"/>
              <w:bidi w:val="0"/>
              <w:spacing w:before="0" w:after="283"/>
              <w:jc w:val="left"/>
              <w:rPr/>
            </w:pPr>
            <w:r>
              <w:rPr/>
              <w:t> </w:t>
            </w:r>
          </w:p>
        </w:tc>
      </w:tr>
      <w:tr>
        <w:trPr/>
        <w:tc>
          <w:tcPr>
            <w:tcW w:w="7574" w:type="dxa"/>
            <w:tcBorders/>
            <w:shd w:fill="CCEEFF" w:val="clear"/>
            <w:vAlign w:val="center"/>
          </w:tcPr>
          <w:p>
            <w:pPr>
              <w:pStyle w:val="TableContents"/>
              <w:bidi w:val="0"/>
              <w:spacing w:before="0" w:after="283"/>
              <w:jc w:val="left"/>
              <w:rPr/>
            </w:pPr>
            <w:r>
              <w:rPr/>
              <w:t>Contributions to defined contribution plans</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78" w:type="dxa"/>
            <w:tcBorders/>
            <w:shd w:fill="CCEEFF" w:val="clear"/>
            <w:vAlign w:val="center"/>
          </w:tcPr>
          <w:p>
            <w:pPr>
              <w:pStyle w:val="TableContents"/>
              <w:bidi w:val="0"/>
              <w:spacing w:before="0" w:after="283"/>
              <w:jc w:val="left"/>
              <w:rPr/>
            </w:pPr>
            <w:r>
              <w:rPr/>
              <w:t> </w:t>
            </w:r>
          </w:p>
        </w:tc>
      </w:tr>
      <w:tr>
        <w:trPr/>
        <w:tc>
          <w:tcPr>
            <w:tcW w:w="757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pPr>
            <w:r>
              <w:rPr/>
              <w:t>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pPr>
            <w:r>
              <w:rPr/>
              <w:t>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pPr>
            <w:r>
              <w:rPr/>
              <w:t>134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26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31</w:t>
            </w:r>
          </w:p>
        </w:tc>
        <w:tc>
          <w:tcPr>
            <w:tcW w:w="3290" w:type="dxa"/>
            <w:tcBorders/>
            <w:vAlign w:val="center"/>
          </w:tcPr>
          <w:p>
            <w:pPr>
              <w:pStyle w:val="TableContents"/>
              <w:bidi w:val="0"/>
              <w:spacing w:before="0" w:after="283"/>
              <w:jc w:val="both"/>
              <w:rPr>
                <w:b/>
              </w:rPr>
            </w:pPr>
            <w:r>
              <w:rPr>
                <w:b/>
              </w:rPr>
              <w:t>FINANCIAL INSTRUMENTS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Categories of financial instruments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the financial instruments as at the end of the reporting period:</w:t>
      </w:r>
    </w:p>
    <w:p>
      <w:pPr>
        <w:pStyle w:val="TextBody"/>
        <w:bidi w:val="0"/>
        <w:spacing w:before="0" w:after="0"/>
        <w:ind w:left="480" w:right="0" w:hanging="0"/>
        <w:jc w:val="both"/>
        <w:rPr>
          <w:caps w:val="false"/>
          <w:smallCaps w:val="false"/>
        </w:rPr>
      </w:pPr>
      <w:r>
        <w:rPr>
          <w:caps w:val="false"/>
          <w:smallCaps w:val="false"/>
        </w:rPr>
        <w:t> </w:t>
      </w:r>
    </w:p>
    <w:tbl>
      <w:tblPr>
        <w:tblW w:w="6932" w:type="dxa"/>
        <w:jc w:val="left"/>
        <w:tblInd w:w="0" w:type="dxa"/>
        <w:tblLayout w:type="fixed"/>
        <w:tblCellMar>
          <w:top w:w="0" w:type="dxa"/>
          <w:left w:w="0" w:type="dxa"/>
          <w:bottom w:w="0" w:type="dxa"/>
          <w:right w:w="0" w:type="dxa"/>
        </w:tblCellMar>
      </w:tblPr>
      <w:tblGrid>
        <w:gridCol w:w="3710"/>
        <w:gridCol w:w="60"/>
        <w:gridCol w:w="91"/>
        <w:gridCol w:w="858"/>
        <w:gridCol w:w="60"/>
        <w:gridCol w:w="60"/>
        <w:gridCol w:w="91"/>
        <w:gridCol w:w="858"/>
        <w:gridCol w:w="60"/>
        <w:gridCol w:w="60"/>
        <w:gridCol w:w="91"/>
        <w:gridCol w:w="858"/>
        <w:gridCol w:w="7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b/>
              </w:rPr>
            </w:pPr>
            <w:r>
              <w:rPr>
                <w:b/>
              </w:rPr>
              <w:t>Financial assets at amortized cost</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3,190</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101</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2,474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1,607</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3,306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4,817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FFFFFF" w:val="clear"/>
            <w:tcMar>
              <w:bottom w:w="28" w:type="dxa"/>
            </w:tcMar>
            <w:vAlign w:val="center"/>
          </w:tcPr>
          <w:p>
            <w:pPr>
              <w:pStyle w:val="TableContents"/>
              <w:bidi w:val="0"/>
              <w:spacing w:before="0" w:after="283"/>
              <w:jc w:val="right"/>
              <w:rPr/>
            </w:pPr>
            <w:r>
              <w:rPr/>
              <w:t>4,898</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rPr>
            </w:pPr>
            <w:r>
              <w:rPr>
                <w:b/>
              </w:rPr>
              <w:t>Financial liabilities at amortized cost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1,140</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1,251</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1,100</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1,325</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113</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1,726</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5,584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5,886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double" w:sz="10" w:space="0" w:color="000000"/>
            </w:tcBorders>
            <w:shd w:fill="CCEEFF" w:val="clear"/>
            <w:tcMar>
              <w:bottom w:w="28" w:type="dxa"/>
            </w:tcMar>
            <w:vAlign w:val="center"/>
          </w:tcPr>
          <w:p>
            <w:pPr>
              <w:pStyle w:val="TableContents"/>
              <w:bidi w:val="0"/>
              <w:spacing w:before="0" w:after="283"/>
              <w:jc w:val="right"/>
              <w:rPr/>
            </w:pPr>
            <w:r>
              <w:rPr/>
              <w:t>6,655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6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32</w:t>
            </w:r>
          </w:p>
        </w:tc>
        <w:tc>
          <w:tcPr>
            <w:tcW w:w="5750" w:type="dxa"/>
            <w:tcBorders/>
            <w:vAlign w:val="center"/>
          </w:tcPr>
          <w:p>
            <w:pPr>
              <w:pStyle w:val="TableContents"/>
              <w:bidi w:val="0"/>
              <w:spacing w:before="0" w:after="283"/>
              <w:jc w:val="both"/>
              <w:rPr>
                <w:b/>
              </w:rPr>
            </w:pPr>
            <w:r>
              <w:rPr>
                <w:b/>
              </w:rPr>
              <w:t>CAPITAL AND FINANCIAL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275"/>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970" w:type="dxa"/>
            <w:tcBorders/>
            <w:vAlign w:val="center"/>
          </w:tcPr>
          <w:p>
            <w:pPr>
              <w:pStyle w:val="TableContents"/>
              <w:bidi w:val="0"/>
              <w:spacing w:before="0" w:after="283"/>
              <w:jc w:val="both"/>
              <w:rPr/>
            </w:pPr>
            <w:r>
              <w:rPr/>
              <w:t>Capital management</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structure of the Group mainly comprises share capital and retained earnings. The primary objective of the Group’s capital management is to ensure that it maintains a strong credit rating and healthy capital ratios to support its business and meet obligations when they fall due.</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structure and makes adjustments in light of changes in economic conditions. The management considers the cost of capital and the risk associated with each class of capital. The Group may adjust dividend payments to shareholders, return capital to shareholders, or issue new shares. No changes were made to the objectives, policies, or processes during the financial years ended June 30, 2023, 2024 and 2025.</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not subject to any other externally imposed capital requirements.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reporting date, the management has reviewed and concluded that there are no material uncertainties related to events or conditions that may cast significant doubt on the Group’s ability to continue as a going concern.</w:t>
      </w:r>
    </w:p>
    <w:p>
      <w:pPr>
        <w:pStyle w:val="TextBody"/>
        <w:bidi w:val="0"/>
        <w:spacing w:before="0" w:after="0"/>
        <w:ind w:left="960" w:right="0" w:hanging="48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9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570" w:type="dxa"/>
            <w:tcBorders/>
            <w:vAlign w:val="center"/>
          </w:tcPr>
          <w:p>
            <w:pPr>
              <w:pStyle w:val="TableContents"/>
              <w:bidi w:val="0"/>
              <w:spacing w:before="0" w:after="283"/>
              <w:jc w:val="both"/>
              <w:rPr/>
            </w:pPr>
            <w:r>
              <w:rPr/>
              <w:t>Financial risk management</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risk management objective of the Group is to optimize value creation for shareholders whilst minimizing the potential adverse impact arising from liquidity and cash flow risk, interest rate risk, credit risk and foreign currency risk.</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Group review and agree policies and procedures for the management of these risks, which are executed by the management of the Group. It is, and has been the policy of the Group, throughout the current and previous financial year that no derivatives shall be undertaken.</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9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275"/>
        <w:gridCol w:w="6425"/>
      </w:tblGrid>
      <w:tr>
        <w:trPr/>
        <w:tc>
          <w:tcPr>
            <w:tcW w:w="275" w:type="dxa"/>
            <w:tcBorders/>
            <w:vAlign w:val="center"/>
          </w:tcPr>
          <w:p>
            <w:pPr>
              <w:pStyle w:val="TableContents"/>
              <w:bidi w:val="0"/>
              <w:spacing w:before="0" w:after="283"/>
              <w:jc w:val="left"/>
              <w:rPr>
                <w:b/>
              </w:rPr>
            </w:pPr>
            <w:r>
              <w:rPr>
                <w:b/>
              </w:rPr>
              <w:t>32</w:t>
            </w:r>
          </w:p>
        </w:tc>
        <w:tc>
          <w:tcPr>
            <w:tcW w:w="6425" w:type="dxa"/>
            <w:tcBorders/>
            <w:vAlign w:val="center"/>
          </w:tcPr>
          <w:p>
            <w:pPr>
              <w:pStyle w:val="TableContents"/>
              <w:bidi w:val="0"/>
              <w:spacing w:before="0" w:after="283"/>
              <w:jc w:val="both"/>
              <w:rPr/>
            </w:pPr>
            <w:r>
              <w:rPr>
                <w:b/>
              </w:rPr>
              <w:t xml:space="preserve">CAPITAL AND FINANCIAL RISK MANAGEMENT </w:t>
            </w:r>
            <w:r>
              <w:rPr/>
              <w:t>(cont.)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sections provide details regarding the exposure of the Group to the above mentioned financial risks and the objectives, policies and processes for the management of these risks.</w:t>
      </w:r>
    </w:p>
    <w:p>
      <w:pPr>
        <w:pStyle w:val="TextBody"/>
        <w:bidi w:val="0"/>
        <w:spacing w:before="0" w:after="0"/>
        <w:ind w:left="1440" w:right="0" w:hanging="48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285" w:type="dxa"/>
            <w:tcBorders/>
            <w:vAlign w:val="center"/>
          </w:tcPr>
          <w:p>
            <w:pPr>
              <w:pStyle w:val="TableContents"/>
              <w:bidi w:val="0"/>
              <w:spacing w:before="0" w:after="283"/>
              <w:jc w:val="both"/>
              <w:rPr/>
            </w:pPr>
            <w:r>
              <w:rPr/>
              <w:t>Credit risk management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refers to the risk that a counterparty will default on its contractual obligations resulting in financial loss to the Group. The Group’s credit risk is primarily attributable to its cash and cash equivalents, trade receivables and other receivables.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determines concentrations of credit risk by on-going monitoring the creditworthiness rating of existing customers and through an on-going review of the trade receivables’ ageing analysis. In monitoring the customers’ credit risk, customers are grouped according to their credit characteristics. Customers that are graded as “high risk” are placed on a restricted customer list, and future credit sales are made only with approval of the Board of Directors, otherwise payment in advance is required.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have any significant credit exposure to any single counterparty or any group of counterparties having similar characteristics, except for approximately 57%, 42% and 41% of the Group’s trade receivables arose from four, two and three groups of customers respectively, as of June 30, 2023, 2024 and 2025.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table sets forth a summary of single customers whom represent 10% or more of the Group’s total revenue:</w:t>
      </w:r>
    </w:p>
    <w:p>
      <w:pPr>
        <w:pStyle w:val="TextBody"/>
        <w:bidi w:val="0"/>
        <w:spacing w:before="0" w:after="0"/>
        <w:ind w:left="144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190"/>
        <w:gridCol w:w="60"/>
        <w:gridCol w:w="95"/>
        <w:gridCol w:w="420"/>
        <w:gridCol w:w="125"/>
        <w:gridCol w:w="60"/>
        <w:gridCol w:w="60"/>
        <w:gridCol w:w="560"/>
        <w:gridCol w:w="60"/>
        <w:gridCol w:w="60"/>
        <w:gridCol w:w="60"/>
        <w:gridCol w:w="560"/>
        <w:gridCol w:w="60"/>
        <w:gridCol w:w="60"/>
        <w:gridCol w:w="114"/>
        <w:gridCol w:w="498"/>
        <w:gridCol w:w="153"/>
        <w:gridCol w:w="73"/>
        <w:gridCol w:w="73"/>
        <w:gridCol w:w="686"/>
        <w:gridCol w:w="73"/>
        <w:gridCol w:w="73"/>
        <w:gridCol w:w="73"/>
        <w:gridCol w:w="539"/>
        <w:gridCol w:w="75"/>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years ended June 30</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Percentage of revenues</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5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2" w:type="dxa"/>
            <w:gridSpan w:val="2"/>
            <w:tcBorders/>
            <w:vAlign w:val="center"/>
          </w:tcPr>
          <w:p>
            <w:pPr>
              <w:pStyle w:val="TableContents"/>
              <w:bidi w:val="0"/>
              <w:spacing w:before="0" w:after="283"/>
              <w:jc w:val="center"/>
              <w:rPr/>
            </w:pPr>
            <w:r>
              <w:rPr/>
              <w:t> </w:t>
            </w:r>
          </w:p>
        </w:tc>
        <w:tc>
          <w:tcPr>
            <w:tcW w:w="15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9" w:type="dxa"/>
            <w:gridSpan w:val="2"/>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61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25" w:type="dxa"/>
            <w:tcBorders/>
            <w:shd w:fill="CCEEFF" w:val="clear"/>
            <w:vAlign w:val="center"/>
          </w:tcPr>
          <w:p>
            <w:pPr>
              <w:pStyle w:val="TableContents"/>
              <w:bidi w:val="0"/>
              <w:spacing w:before="0" w:after="283"/>
              <w:jc w:val="left"/>
              <w:rPr>
                <w:position w:val="8"/>
                <w:sz w:val="19"/>
              </w:rPr>
            </w:pPr>
            <w:r>
              <w:rPr>
                <w:position w:val="8"/>
                <w:sz w:val="19"/>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53" w:type="dxa"/>
            <w:tcBorders/>
            <w:shd w:fill="CCEEFF" w:val="clear"/>
            <w:vAlign w:val="center"/>
          </w:tcPr>
          <w:p>
            <w:pPr>
              <w:pStyle w:val="TableContents"/>
              <w:bidi w:val="0"/>
              <w:spacing w:before="0" w:after="283"/>
              <w:jc w:val="left"/>
              <w:rPr>
                <w:position w:val="8"/>
                <w:sz w:val="19"/>
              </w:rPr>
            </w:pPr>
            <w:r>
              <w:rPr>
                <w:position w:val="8"/>
                <w:sz w:val="19"/>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10.88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pPr>
            <w:r>
              <w:rPr/>
              <w:t>—</w:t>
            </w:r>
          </w:p>
        </w:tc>
        <w:tc>
          <w:tcPr>
            <w:tcW w:w="15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w:t>
            </w:r>
          </w:p>
        </w:tc>
        <w:tc>
          <w:tcPr>
            <w:tcW w:w="15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053" w:type="dxa"/>
        <w:jc w:val="left"/>
        <w:tblInd w:w="0" w:type="dxa"/>
        <w:tblLayout w:type="fixed"/>
        <w:tblCellMar>
          <w:top w:w="0" w:type="dxa"/>
          <w:left w:w="0" w:type="dxa"/>
          <w:bottom w:w="0" w:type="dxa"/>
          <w:right w:w="0" w:type="dxa"/>
        </w:tblCellMar>
      </w:tblPr>
      <w:tblGrid>
        <w:gridCol w:w="38"/>
        <w:gridCol w:w="14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i/>
              </w:rPr>
            </w:pPr>
            <w:r>
              <w:rPr>
                <w:i/>
              </w:rPr>
              <w:t>*</w:t>
            </w:r>
          </w:p>
        </w:tc>
        <w:tc>
          <w:tcPr>
            <w:tcW w:w="9875" w:type="dxa"/>
            <w:tcBorders/>
            <w:vAlign w:val="center"/>
          </w:tcPr>
          <w:p>
            <w:pPr>
              <w:pStyle w:val="TableContents"/>
              <w:bidi w:val="0"/>
              <w:spacing w:before="0" w:after="283"/>
              <w:jc w:val="both"/>
              <w:rPr>
                <w:i/>
              </w:rPr>
            </w:pPr>
            <w:r>
              <w:rPr>
                <w:i/>
              </w:rPr>
              <w:t>Revenue from relevant customer was less than 10% of the Group’s total revenue for the respective year.</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are placed with credit-worthy financial institutions with high credit ratings assigned by international credit-rating agencies and therefore credit risk is limited. The Group has adopted procedures in extending credit terms to customers and monitoring its credit risk. Credit evaluations are performed on customers requiring credit over a certain amount. Before accepting any new customer, the Group carries out research on the credit risk of the new customer and assesses the potential customer’s credit quality and defines credit limits by customer. Limits attributed to customers are reviewed when necessary.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current credit risk grading framework comprises the following categories: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0"/>
        <w:gridCol w:w="60"/>
        <w:gridCol w:w="6825"/>
        <w:gridCol w:w="60"/>
        <w:gridCol w:w="2430"/>
      </w:tblGrid>
      <w:tr>
        <w:trPr/>
        <w:tc>
          <w:tcPr>
            <w:tcW w:w="8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Category</w:t>
            </w:r>
          </w:p>
        </w:tc>
        <w:tc>
          <w:tcPr>
            <w:tcW w:w="60" w:type="dxa"/>
            <w:tcBorders/>
            <w:tcMar>
              <w:bottom w:w="0" w:type="dxa"/>
            </w:tcMar>
            <w:vAlign w:val="center"/>
          </w:tcPr>
          <w:p>
            <w:pPr>
              <w:pStyle w:val="TableContents"/>
              <w:bidi w:val="0"/>
              <w:spacing w:before="0" w:after="283"/>
              <w:jc w:val="left"/>
              <w:rPr/>
            </w:pPr>
            <w:r>
              <w:rPr/>
              <w:t> </w:t>
            </w:r>
          </w:p>
        </w:tc>
        <w:tc>
          <w:tcPr>
            <w:tcW w:w="68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24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Basis of recognizing ECL</w:t>
            </w:r>
          </w:p>
        </w:tc>
      </w:tr>
      <w:tr>
        <w:trPr/>
        <w:tc>
          <w:tcPr>
            <w:tcW w:w="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Low risk</w:t>
            </w:r>
          </w:p>
        </w:tc>
        <w:tc>
          <w:tcPr>
            <w:tcW w:w="6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counterparty has a low risk of default and does not have any past-due amounts.</w:t>
            </w:r>
          </w:p>
        </w:tc>
        <w:tc>
          <w:tcPr>
            <w:tcW w:w="60" w:type="dxa"/>
            <w:tcBorders/>
            <w:tcMar>
              <w:bottom w:w="0" w:type="dxa"/>
            </w:tcMar>
            <w:vAlign w:val="center"/>
          </w:tcPr>
          <w:p>
            <w:pPr>
              <w:pStyle w:val="TableContents"/>
              <w:bidi w:val="0"/>
              <w:spacing w:before="0" w:after="283"/>
              <w:jc w:val="left"/>
              <w:rPr/>
            </w:pPr>
            <w:r>
              <w:rPr/>
              <w:t> </w:t>
            </w:r>
          </w:p>
        </w:tc>
        <w:tc>
          <w:tcPr>
            <w:tcW w:w="2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12-month ECL</w:t>
            </w:r>
          </w:p>
        </w:tc>
      </w:tr>
      <w:tr>
        <w:trPr/>
        <w:tc>
          <w:tcPr>
            <w:tcW w:w="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Doubtful</w:t>
            </w:r>
          </w:p>
        </w:tc>
        <w:tc>
          <w:tcPr>
            <w:tcW w:w="6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have been significant increases in credit risk since initial recognition through information developed internally or external resources.</w:t>
            </w:r>
          </w:p>
        </w:tc>
        <w:tc>
          <w:tcPr>
            <w:tcW w:w="60" w:type="dxa"/>
            <w:tcBorders/>
            <w:tcMar>
              <w:bottom w:w="0" w:type="dxa"/>
            </w:tcMar>
            <w:vAlign w:val="center"/>
          </w:tcPr>
          <w:p>
            <w:pPr>
              <w:pStyle w:val="TableContents"/>
              <w:bidi w:val="0"/>
              <w:spacing w:before="0" w:after="283"/>
              <w:jc w:val="left"/>
              <w:rPr/>
            </w:pPr>
            <w:r>
              <w:rPr/>
              <w:t> </w:t>
            </w:r>
          </w:p>
        </w:tc>
        <w:tc>
          <w:tcPr>
            <w:tcW w:w="2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Lifetime ECL – not credit-impaired</w:t>
            </w:r>
          </w:p>
        </w:tc>
      </w:tr>
      <w:tr>
        <w:trPr/>
        <w:tc>
          <w:tcPr>
            <w:tcW w:w="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default</w:t>
            </w:r>
          </w:p>
        </w:tc>
        <w:tc>
          <w:tcPr>
            <w:tcW w:w="6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evidence indicating the asset is credit-impaired.</w:t>
            </w:r>
          </w:p>
        </w:tc>
        <w:tc>
          <w:tcPr>
            <w:tcW w:w="60" w:type="dxa"/>
            <w:tcBorders/>
            <w:tcMar>
              <w:bottom w:w="0" w:type="dxa"/>
            </w:tcMar>
            <w:vAlign w:val="center"/>
          </w:tcPr>
          <w:p>
            <w:pPr>
              <w:pStyle w:val="TableContents"/>
              <w:bidi w:val="0"/>
              <w:spacing w:before="0" w:after="283"/>
              <w:jc w:val="left"/>
              <w:rPr/>
            </w:pPr>
            <w:r>
              <w:rPr/>
              <w:t> </w:t>
            </w:r>
          </w:p>
        </w:tc>
        <w:tc>
          <w:tcPr>
            <w:tcW w:w="2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Lifetime ECL – credit-impaired</w:t>
            </w:r>
          </w:p>
        </w:tc>
      </w:tr>
      <w:tr>
        <w:trPr/>
        <w:tc>
          <w:tcPr>
            <w:tcW w:w="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Write-off</w:t>
            </w:r>
          </w:p>
        </w:tc>
        <w:tc>
          <w:tcPr>
            <w:tcW w:w="60" w:type="dxa"/>
            <w:tcBorders/>
            <w:tcMar>
              <w:bottom w:w="0" w:type="dxa"/>
            </w:tcMar>
            <w:vAlign w:val="center"/>
          </w:tcPr>
          <w:p>
            <w:pPr>
              <w:pStyle w:val="TableContents"/>
              <w:bidi w:val="0"/>
              <w:spacing w:before="0" w:after="283"/>
              <w:jc w:val="left"/>
              <w:rPr/>
            </w:pPr>
            <w:r>
              <w:rPr/>
              <w:t> </w:t>
            </w:r>
          </w:p>
        </w:tc>
        <w:tc>
          <w:tcPr>
            <w:tcW w:w="682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evidence indicating that the debtor is in severe financial difficulty and the Group has no realistic prospect of recovery.</w:t>
            </w:r>
          </w:p>
        </w:tc>
        <w:tc>
          <w:tcPr>
            <w:tcW w:w="60" w:type="dxa"/>
            <w:tcBorders/>
            <w:tcMar>
              <w:bottom w:w="0" w:type="dxa"/>
            </w:tcMar>
            <w:vAlign w:val="center"/>
          </w:tcPr>
          <w:p>
            <w:pPr>
              <w:pStyle w:val="TableContents"/>
              <w:bidi w:val="0"/>
              <w:spacing w:before="0" w:after="283"/>
              <w:jc w:val="left"/>
              <w:rPr/>
            </w:pPr>
            <w:r>
              <w:rPr/>
              <w:t> </w:t>
            </w:r>
          </w:p>
        </w:tc>
        <w:tc>
          <w:tcPr>
            <w:tcW w:w="24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is written 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6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32</w:t>
            </w:r>
          </w:p>
        </w:tc>
        <w:tc>
          <w:tcPr>
            <w:tcW w:w="6425" w:type="dxa"/>
            <w:tcBorders/>
            <w:vAlign w:val="center"/>
          </w:tcPr>
          <w:p>
            <w:pPr>
              <w:pStyle w:val="TableContents"/>
              <w:bidi w:val="0"/>
              <w:spacing w:before="0" w:after="283"/>
              <w:jc w:val="both"/>
              <w:rPr/>
            </w:pPr>
            <w:r>
              <w:rPr>
                <w:b/>
              </w:rPr>
              <w:t xml:space="preserve">CAPITAL AND FINANCIAL RISK MANAGEMENT </w:t>
            </w:r>
            <w:r>
              <w:rPr/>
              <w:t>(cont.)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for trade receivables that do not contain a significant financing component are recognized based on the simplified approach within IFRS 9 using the lifetime expected credit losses.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details the credit quality of the Group’s financial assets as well as maximum exposure to credit risk by credit risk rating grades: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52"/>
        <w:gridCol w:w="60"/>
        <w:gridCol w:w="3293"/>
        <w:gridCol w:w="60"/>
        <w:gridCol w:w="129"/>
        <w:gridCol w:w="1207"/>
        <w:gridCol w:w="60"/>
        <w:gridCol w:w="60"/>
        <w:gridCol w:w="157"/>
        <w:gridCol w:w="1200"/>
        <w:gridCol w:w="95"/>
        <w:gridCol w:w="60"/>
        <w:gridCol w:w="115"/>
        <w:gridCol w:w="1079"/>
        <w:gridCol w:w="78"/>
      </w:tblGrid>
      <w:tr>
        <w:trPr/>
        <w:tc>
          <w:tcPr>
            <w:tcW w:w="2552" w:type="dxa"/>
            <w:tcBorders>
              <w:bottom w:val="single" w:sz="12" w:space="0" w:color="000000"/>
            </w:tcBorders>
            <w:vAlign w:val="center"/>
          </w:tcPr>
          <w:p>
            <w:pPr>
              <w:pStyle w:val="TableContents"/>
              <w:bidi w:val="0"/>
              <w:spacing w:before="0" w:after="283"/>
              <w:jc w:val="left"/>
              <w:rPr>
                <w:b/>
              </w:rPr>
            </w:pPr>
            <w:r>
              <w:rPr>
                <w:b/>
              </w:rPr>
              <w:t>Financial assets at amortized cost</w:t>
            </w:r>
          </w:p>
        </w:tc>
        <w:tc>
          <w:tcPr>
            <w:tcW w:w="60" w:type="dxa"/>
            <w:tcBorders/>
            <w:tcMar>
              <w:bottom w:w="0" w:type="dxa"/>
            </w:tcMar>
            <w:vAlign w:val="center"/>
          </w:tcPr>
          <w:p>
            <w:pPr>
              <w:pStyle w:val="TableContents"/>
              <w:bidi w:val="0"/>
              <w:spacing w:before="0" w:after="283"/>
              <w:jc w:val="left"/>
              <w:rPr/>
            </w:pPr>
            <w:r>
              <w:rPr/>
              <w:t> </w:t>
            </w:r>
          </w:p>
        </w:tc>
        <w:tc>
          <w:tcPr>
            <w:tcW w:w="3293" w:type="dxa"/>
            <w:tcBorders>
              <w:bottom w:val="single" w:sz="12" w:space="0" w:color="000000"/>
            </w:tcBorders>
            <w:vAlign w:val="center"/>
          </w:tcPr>
          <w:p>
            <w:pPr>
              <w:pStyle w:val="TableContents"/>
              <w:bidi w:val="0"/>
              <w:spacing w:before="0" w:after="283"/>
              <w:jc w:val="center"/>
              <w:rPr>
                <w:b/>
              </w:rPr>
            </w:pPr>
            <w:r>
              <w:rPr>
                <w:b/>
              </w:rPr>
              <w:t>12-month or lifetime ECL</w:t>
            </w:r>
          </w:p>
        </w:tc>
        <w:tc>
          <w:tcPr>
            <w:tcW w:w="60" w:type="dxa"/>
            <w:tcBorders/>
            <w:tcMar>
              <w:bottom w:w="0" w:type="dxa"/>
            </w:tcMar>
            <w:vAlign w:val="center"/>
          </w:tcPr>
          <w:p>
            <w:pPr>
              <w:pStyle w:val="TableContents"/>
              <w:bidi w:val="0"/>
              <w:spacing w:before="0" w:after="283"/>
              <w:jc w:val="left"/>
              <w:rPr/>
            </w:pPr>
            <w:r>
              <w:rPr/>
              <w:t> </w:t>
            </w:r>
          </w:p>
        </w:tc>
        <w:tc>
          <w:tcPr>
            <w:tcW w:w="1336" w:type="dxa"/>
            <w:gridSpan w:val="2"/>
            <w:tcBorders>
              <w:bottom w:val="single" w:sz="12" w:space="0" w:color="000000"/>
            </w:tcBorders>
            <w:vAlign w:val="center"/>
          </w:tcPr>
          <w:p>
            <w:pPr>
              <w:pStyle w:val="TableContents"/>
              <w:bidi w:val="0"/>
              <w:spacing w:before="0" w:after="283"/>
              <w:jc w:val="center"/>
              <w:rPr>
                <w:b/>
              </w:rPr>
            </w:pPr>
            <w:r>
              <w:rPr>
                <w:b/>
              </w:rPr>
              <w:t xml:space="preserve">Gross carrying </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7" w:type="dxa"/>
            <w:gridSpan w:val="2"/>
            <w:tcBorders>
              <w:bottom w:val="single" w:sz="12" w:space="0" w:color="000000"/>
            </w:tcBorders>
            <w:vAlign w:val="center"/>
          </w:tcPr>
          <w:p>
            <w:pPr>
              <w:pStyle w:val="TableContents"/>
              <w:bidi w:val="0"/>
              <w:spacing w:before="0" w:after="283"/>
              <w:jc w:val="center"/>
              <w:rPr>
                <w:b/>
              </w:rPr>
            </w:pPr>
            <w:r>
              <w:rPr>
                <w:b/>
              </w:rPr>
              <w:t>Loss allowance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4" w:type="dxa"/>
            <w:gridSpan w:val="2"/>
            <w:tcBorders>
              <w:bottom w:val="single" w:sz="12" w:space="0" w:color="000000"/>
            </w:tcBorders>
            <w:vAlign w:val="center"/>
          </w:tcPr>
          <w:p>
            <w:pPr>
              <w:pStyle w:val="TableContents"/>
              <w:bidi w:val="0"/>
              <w:spacing w:before="0" w:after="283"/>
              <w:jc w:val="center"/>
              <w:rPr>
                <w:b/>
              </w:rPr>
            </w:pPr>
            <w:r>
              <w:rPr>
                <w:b/>
              </w:rPr>
              <w:t xml:space="preserve">Net carrying </w:t>
              <w:br/>
              <w:t>amount</w:t>
            </w:r>
          </w:p>
        </w:tc>
        <w:tc>
          <w:tcPr>
            <w:tcW w:w="78" w:type="dxa"/>
            <w:tcBorders/>
            <w:tcMar>
              <w:bottom w:w="0" w:type="dxa"/>
            </w:tcMar>
            <w:vAlign w:val="center"/>
          </w:tcPr>
          <w:p>
            <w:pPr>
              <w:pStyle w:val="TableContents"/>
              <w:bidi w:val="0"/>
              <w:spacing w:before="0" w:after="283"/>
              <w:jc w:val="left"/>
              <w:rPr/>
            </w:pPr>
            <w:r>
              <w:rPr/>
              <w:t> </w:t>
            </w:r>
          </w:p>
        </w:tc>
      </w:tr>
      <w:tr>
        <w:trPr/>
        <w:tc>
          <w:tcPr>
            <w:tcW w:w="255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6" w:type="dxa"/>
            <w:gridSpan w:val="2"/>
            <w:tcBorders/>
            <w:tcMar>
              <w:bottom w:w="0" w:type="dxa"/>
            </w:tcMar>
            <w:vAlign w:val="center"/>
          </w:tcPr>
          <w:p>
            <w:pPr>
              <w:pStyle w:val="TableContents"/>
              <w:bidi w:val="0"/>
              <w:spacing w:before="0" w:after="283"/>
              <w:jc w:val="center"/>
              <w:rPr>
                <w:b/>
              </w:rPr>
            </w:pPr>
            <w:r>
              <w:rPr>
                <w:b/>
              </w:rPr>
              <w:t>USD’000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7" w:type="dxa"/>
            <w:gridSpan w:val="2"/>
            <w:tcBorders/>
            <w:tcMar>
              <w:bottom w:w="0" w:type="dxa"/>
            </w:tcMar>
            <w:vAlign w:val="center"/>
          </w:tcPr>
          <w:p>
            <w:pPr>
              <w:pStyle w:val="TableContents"/>
              <w:bidi w:val="0"/>
              <w:spacing w:before="0" w:after="283"/>
              <w:jc w:val="center"/>
              <w:rPr>
                <w:b/>
              </w:rPr>
            </w:pPr>
            <w:r>
              <w:rPr>
                <w:b/>
              </w:rPr>
              <w:t>USD’000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4" w:type="dxa"/>
            <w:gridSpan w:val="2"/>
            <w:tcBorders/>
            <w:tcMar>
              <w:bottom w:w="0" w:type="dxa"/>
            </w:tcMar>
            <w:vAlign w:val="center"/>
          </w:tcPr>
          <w:p>
            <w:pPr>
              <w:pStyle w:val="TableContents"/>
              <w:bidi w:val="0"/>
              <w:spacing w:before="0" w:after="283"/>
              <w:jc w:val="center"/>
              <w:rPr>
                <w:b/>
              </w:rPr>
            </w:pPr>
            <w:r>
              <w:rPr>
                <w:b/>
              </w:rPr>
              <w:t>USD’000</w:t>
            </w:r>
          </w:p>
        </w:tc>
        <w:tc>
          <w:tcPr>
            <w:tcW w:w="78" w:type="dxa"/>
            <w:tcBorders/>
            <w:tcMar>
              <w:bottom w:w="0" w:type="dxa"/>
            </w:tcMar>
            <w:vAlign w:val="center"/>
          </w:tcPr>
          <w:p>
            <w:pPr>
              <w:pStyle w:val="TableContents"/>
              <w:bidi w:val="0"/>
              <w:spacing w:before="0" w:after="283"/>
              <w:jc w:val="left"/>
              <w:rPr/>
            </w:pPr>
            <w:r>
              <w:rPr/>
              <w:t> </w:t>
            </w:r>
          </w:p>
        </w:tc>
      </w:tr>
      <w:tr>
        <w:trPr/>
        <w:tc>
          <w:tcPr>
            <w:tcW w:w="2552" w:type="dxa"/>
            <w:tcBorders/>
            <w:tcMar>
              <w:bottom w:w="0" w:type="dxa"/>
            </w:tcMar>
            <w:vAlign w:val="center"/>
          </w:tcPr>
          <w:p>
            <w:pPr>
              <w:pStyle w:val="TableContents"/>
              <w:bidi w:val="0"/>
              <w:spacing w:before="0" w:after="283"/>
              <w:jc w:val="left"/>
              <w:rPr>
                <w:b/>
              </w:rPr>
            </w:pPr>
            <w:r>
              <w:rPr>
                <w:b/>
              </w:rPr>
              <w:t>2023</w:t>
            </w:r>
          </w:p>
        </w:tc>
        <w:tc>
          <w:tcPr>
            <w:tcW w:w="60" w:type="dxa"/>
            <w:tcBorders/>
            <w:tcMar>
              <w:bottom w:w="0" w:type="dxa"/>
            </w:tcMar>
            <w:vAlign w:val="center"/>
          </w:tcPr>
          <w:p>
            <w:pPr>
              <w:pStyle w:val="TableContents"/>
              <w:bidi w:val="0"/>
              <w:spacing w:before="0" w:after="283"/>
              <w:jc w:val="left"/>
              <w:rPr/>
            </w:pPr>
            <w:r>
              <w:rPr/>
              <w:t> </w:t>
            </w:r>
          </w:p>
        </w:tc>
        <w:tc>
          <w:tcPr>
            <w:tcW w:w="3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6"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7"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4" w:type="dxa"/>
            <w:gridSpan w:val="2"/>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Lifetime ECL – Not credit-impaired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1,577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(182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1,395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center"/>
              <w:rPr/>
            </w:pPr>
            <w:r>
              <w:rPr/>
              <w:t>Lifetime ECL – Credit-impaired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1207" w:type="dxa"/>
            <w:tcBorders>
              <w:bottom w:val="single" w:sz="12" w:space="0" w:color="000000"/>
            </w:tcBorders>
            <w:shd w:fill="FFFFFF" w:val="clear"/>
            <w:vAlign w:val="center"/>
          </w:tcPr>
          <w:p>
            <w:pPr>
              <w:pStyle w:val="TableContents"/>
              <w:bidi w:val="0"/>
              <w:spacing w:before="0" w:after="283"/>
              <w:jc w:val="right"/>
              <w:rPr/>
            </w:pPr>
            <w:r>
              <w:rPr/>
              <w:t>446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1200" w:type="dxa"/>
            <w:tcBorders>
              <w:bottom w:val="single" w:sz="12" w:space="0" w:color="000000"/>
            </w:tcBorders>
            <w:shd w:fill="FFFFFF" w:val="clear"/>
            <w:vAlign w:val="center"/>
          </w:tcPr>
          <w:p>
            <w:pPr>
              <w:pStyle w:val="TableContents"/>
              <w:bidi w:val="0"/>
              <w:spacing w:before="0" w:after="283"/>
              <w:jc w:val="right"/>
              <w:rPr/>
            </w:pPr>
            <w:r>
              <w:rPr/>
              <w:t>(446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FFFFFF" w:val="clear"/>
            <w:vAlign w:val="center"/>
          </w:tcPr>
          <w:p>
            <w:pPr>
              <w:pStyle w:val="TableContents"/>
              <w:bidi w:val="0"/>
              <w:spacing w:before="0" w:after="283"/>
              <w:jc w:val="left"/>
              <w:rPr/>
            </w:pPr>
            <w:r>
              <w:rPr/>
              <w:t> </w:t>
            </w:r>
          </w:p>
        </w:tc>
        <w:tc>
          <w:tcPr>
            <w:tcW w:w="1079" w:type="dxa"/>
            <w:tcBorders>
              <w:bottom w:val="single" w:sz="12" w:space="0" w:color="000000"/>
            </w:tcBorders>
            <w:shd w:fill="FFFFFF" w:val="cle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(628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1,395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Other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Lifetime ECL – Credit-impaired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center"/>
              <w:rPr/>
            </w:pPr>
            <w:r>
              <w:rPr/>
              <w:t>12-month ECL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1207" w:type="dxa"/>
            <w:tcBorders>
              <w:bottom w:val="single" w:sz="12" w:space="0" w:color="000000"/>
            </w:tcBorders>
            <w:shd w:fill="FFFFFF" w:val="clear"/>
            <w:vAlign w:val="center"/>
          </w:tcPr>
          <w:p>
            <w:pPr>
              <w:pStyle w:val="TableContents"/>
              <w:bidi w:val="0"/>
              <w:spacing w:before="0" w:after="283"/>
              <w:jc w:val="right"/>
              <w:rPr/>
            </w:pPr>
            <w:r>
              <w:rPr/>
              <w:t>136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1200"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FFFFFF" w:val="clear"/>
            <w:vAlign w:val="center"/>
          </w:tcPr>
          <w:p>
            <w:pPr>
              <w:pStyle w:val="TableContents"/>
              <w:bidi w:val="0"/>
              <w:spacing w:before="0" w:after="283"/>
              <w:jc w:val="left"/>
              <w:rPr/>
            </w:pPr>
            <w:r>
              <w:rPr/>
              <w:t> </w:t>
            </w:r>
          </w:p>
        </w:tc>
        <w:tc>
          <w:tcPr>
            <w:tcW w:w="1079" w:type="dxa"/>
            <w:tcBorders>
              <w:bottom w:val="single" w:sz="12" w:space="0" w:color="000000"/>
            </w:tcBorders>
            <w:shd w:fill="FFFFFF" w:val="clear"/>
            <w:vAlign w:val="center"/>
          </w:tcPr>
          <w:p>
            <w:pPr>
              <w:pStyle w:val="TableContents"/>
              <w:bidi w:val="0"/>
              <w:spacing w:before="0" w:after="283"/>
              <w:jc w:val="right"/>
              <w:rPr/>
            </w:pPr>
            <w:r>
              <w:rPr/>
              <w:t>136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double" w:sz="10" w:space="0" w:color="000000"/>
            </w:tcBorders>
            <w:shd w:fill="CCEEFF" w:val="clear"/>
            <w:vAlign w:val="center"/>
          </w:tcPr>
          <w:p>
            <w:pPr>
              <w:pStyle w:val="TableContents"/>
              <w:bidi w:val="0"/>
              <w:spacing w:before="0" w:after="283"/>
              <w:jc w:val="left"/>
              <w:rPr/>
            </w:pPr>
            <w:r>
              <w:rPr/>
              <w:t> </w:t>
            </w:r>
          </w:p>
        </w:tc>
        <w:tc>
          <w:tcPr>
            <w:tcW w:w="1207" w:type="dxa"/>
            <w:tcBorders>
              <w:bottom w:val="double" w:sz="10" w:space="0" w:color="000000"/>
            </w:tcBorders>
            <w:shd w:fill="CCEEFF" w:val="clear"/>
            <w:vAlign w:val="center"/>
          </w:tcPr>
          <w:p>
            <w:pPr>
              <w:pStyle w:val="TableContents"/>
              <w:bidi w:val="0"/>
              <w:spacing w:before="0" w:after="283"/>
              <w:jc w:val="right"/>
              <w:rPr/>
            </w:pPr>
            <w:r>
              <w:rPr/>
              <w:t>2,195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CCEEFF" w:val="clear"/>
            <w:vAlign w:val="center"/>
          </w:tcPr>
          <w:p>
            <w:pPr>
              <w:pStyle w:val="TableContents"/>
              <w:bidi w:val="0"/>
              <w:spacing w:before="0" w:after="283"/>
              <w:jc w:val="left"/>
              <w:rPr/>
            </w:pPr>
            <w:r>
              <w:rPr/>
              <w:t> </w:t>
            </w:r>
          </w:p>
        </w:tc>
        <w:tc>
          <w:tcPr>
            <w:tcW w:w="1200" w:type="dxa"/>
            <w:tcBorders>
              <w:bottom w:val="double" w:sz="10" w:space="0" w:color="000000"/>
            </w:tcBorders>
            <w:shd w:fill="CCEEFF" w:val="clear"/>
            <w:vAlign w:val="center"/>
          </w:tcPr>
          <w:p>
            <w:pPr>
              <w:pStyle w:val="TableContents"/>
              <w:bidi w:val="0"/>
              <w:spacing w:before="0" w:after="283"/>
              <w:jc w:val="right"/>
              <w:rPr/>
            </w:pPr>
            <w:r>
              <w:rPr/>
              <w:t>(664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double" w:sz="10" w:space="0" w:color="000000"/>
            </w:tcBorders>
            <w:shd w:fill="CCEEFF" w:val="clear"/>
            <w:vAlign w:val="center"/>
          </w:tcPr>
          <w:p>
            <w:pPr>
              <w:pStyle w:val="TableContents"/>
              <w:bidi w:val="0"/>
              <w:spacing w:before="0" w:after="283"/>
              <w:jc w:val="left"/>
              <w:rPr/>
            </w:pPr>
            <w:r>
              <w:rPr/>
              <w:t> </w:t>
            </w:r>
          </w:p>
        </w:tc>
        <w:tc>
          <w:tcPr>
            <w:tcW w:w="1079" w:type="dxa"/>
            <w:tcBorders>
              <w:bottom w:val="double" w:sz="10" w:space="0" w:color="000000"/>
            </w:tcBorders>
            <w:shd w:fill="CCEEFF" w:val="clear"/>
            <w:vAlign w:val="center"/>
          </w:tcPr>
          <w:p>
            <w:pPr>
              <w:pStyle w:val="TableContents"/>
              <w:bidi w:val="0"/>
              <w:spacing w:before="0" w:after="283"/>
              <w:jc w:val="right"/>
              <w:rPr/>
            </w:pPr>
            <w:r>
              <w:rPr/>
              <w:t>1,531</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b/>
              </w:rPr>
            </w:pPr>
            <w:r>
              <w:rPr>
                <w:b/>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center"/>
              <w:rPr/>
            </w:pPr>
            <w:r>
              <w:rPr/>
              <w:t>Lifetime ECL – Not credit-impaired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2,387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(141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2,246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Lifetime ECL – Credit-impaired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1207" w:type="dxa"/>
            <w:tcBorders>
              <w:bottom w:val="single" w:sz="12" w:space="0" w:color="000000"/>
            </w:tcBorders>
            <w:shd w:fill="CCEEFF" w:val="clear"/>
            <w:vAlign w:val="center"/>
          </w:tcPr>
          <w:p>
            <w:pPr>
              <w:pStyle w:val="TableContents"/>
              <w:bidi w:val="0"/>
              <w:spacing w:before="0" w:after="283"/>
              <w:jc w:val="right"/>
              <w:rPr/>
            </w:pPr>
            <w:r>
              <w:rPr/>
              <w:t>495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1200" w:type="dxa"/>
            <w:tcBorders>
              <w:bottom w:val="single" w:sz="12" w:space="0" w:color="000000"/>
            </w:tcBorders>
            <w:shd w:fill="CCEEFF" w:val="clear"/>
            <w:vAlign w:val="center"/>
          </w:tcPr>
          <w:p>
            <w:pPr>
              <w:pStyle w:val="TableContents"/>
              <w:bidi w:val="0"/>
              <w:spacing w:before="0" w:after="283"/>
              <w:jc w:val="right"/>
              <w:rPr/>
            </w:pPr>
            <w:r>
              <w:rPr/>
              <w:t>(495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CCEEFF" w:val="clear"/>
            <w:vAlign w:val="center"/>
          </w:tcPr>
          <w:p>
            <w:pPr>
              <w:pStyle w:val="TableContents"/>
              <w:bidi w:val="0"/>
              <w:spacing w:before="0" w:after="283"/>
              <w:jc w:val="left"/>
              <w:rPr/>
            </w:pPr>
            <w:r>
              <w:rPr/>
              <w:t> </w:t>
            </w:r>
          </w:p>
        </w:tc>
        <w:tc>
          <w:tcPr>
            <w:tcW w:w="1079" w:type="dxa"/>
            <w:tcBorders>
              <w:bottom w:val="single" w:sz="12" w:space="0" w:color="000000"/>
            </w:tcBorders>
            <w:shd w:fill="CCEEFF" w:val="cle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2,882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(636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2,246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center"/>
              <w:rPr/>
            </w:pPr>
            <w:r>
              <w:rPr/>
              <w:t>Lifetime ECL – Credit-impaired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Other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12-month ECL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CCEEFF" w:val="clear"/>
            <w:vAlign w:val="center"/>
          </w:tcPr>
          <w:p>
            <w:pPr>
              <w:pStyle w:val="TableContents"/>
              <w:bidi w:val="0"/>
              <w:spacing w:before="0" w:after="283"/>
              <w:jc w:val="left"/>
              <w:rPr/>
            </w:pPr>
            <w:r>
              <w:rPr/>
              <w:t> </w:t>
            </w:r>
          </w:p>
        </w:tc>
        <w:tc>
          <w:tcPr>
            <w:tcW w:w="1207" w:type="dxa"/>
            <w:tcBorders>
              <w:bottom w:val="single" w:sz="12" w:space="0" w:color="000000"/>
            </w:tcBorders>
            <w:shd w:fill="CCEEFF" w:val="clear"/>
            <w:vAlign w:val="center"/>
          </w:tcPr>
          <w:p>
            <w:pPr>
              <w:pStyle w:val="TableContents"/>
              <w:bidi w:val="0"/>
              <w:spacing w:before="0" w:after="283"/>
              <w:jc w:val="right"/>
              <w:rPr/>
            </w:pPr>
            <w:r>
              <w:rPr/>
              <w:t>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1200"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CCEEFF" w:val="clear"/>
            <w:vAlign w:val="center"/>
          </w:tcPr>
          <w:p>
            <w:pPr>
              <w:pStyle w:val="TableContents"/>
              <w:bidi w:val="0"/>
              <w:spacing w:before="0" w:after="283"/>
              <w:jc w:val="left"/>
              <w:rPr/>
            </w:pPr>
            <w:r>
              <w:rPr/>
              <w:t> </w:t>
            </w:r>
          </w:p>
        </w:tc>
        <w:tc>
          <w:tcPr>
            <w:tcW w:w="1079" w:type="dxa"/>
            <w:tcBorders>
              <w:bottom w:val="single" w:sz="12" w:space="0" w:color="000000"/>
            </w:tcBorders>
            <w:shd w:fill="CCEEFF" w:val="clear"/>
            <w:vAlign w:val="center"/>
          </w:tcPr>
          <w:p>
            <w:pPr>
              <w:pStyle w:val="TableContents"/>
              <w:bidi w:val="0"/>
              <w:spacing w:before="0" w:after="283"/>
              <w:jc w:val="right"/>
              <w:rPr/>
            </w:pPr>
            <w:r>
              <w:rPr/>
              <w:t>97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3,015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(672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2,343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b/>
              </w:rPr>
            </w:pPr>
            <w:r>
              <w:rPr>
                <w:b/>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Trade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Lifetime ECL – Not credit-impaired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3,381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(191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3,190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center"/>
              <w:rPr/>
            </w:pPr>
            <w:r>
              <w:rPr/>
              <w:t>Lifetime ECL – Credit-impaired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1207" w:type="dxa"/>
            <w:tcBorders>
              <w:bottom w:val="single" w:sz="12" w:space="0" w:color="000000"/>
            </w:tcBorders>
            <w:shd w:fill="FFFFFF" w:val="clear"/>
            <w:vAlign w:val="center"/>
          </w:tcPr>
          <w:p>
            <w:pPr>
              <w:pStyle w:val="TableContents"/>
              <w:bidi w:val="0"/>
              <w:spacing w:before="0" w:after="283"/>
              <w:jc w:val="right"/>
              <w:rPr/>
            </w:pPr>
            <w:r>
              <w:rPr/>
              <w:t>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1200" w:type="dxa"/>
            <w:tcBorders>
              <w:bottom w:val="single" w:sz="12" w:space="0" w:color="000000"/>
            </w:tcBorders>
            <w:shd w:fill="FFFFFF" w:val="clear"/>
            <w:vAlign w:val="center"/>
          </w:tcPr>
          <w:p>
            <w:pPr>
              <w:pStyle w:val="TableContents"/>
              <w:bidi w:val="0"/>
              <w:spacing w:before="0" w:after="283"/>
              <w:jc w:val="right"/>
              <w:rPr/>
            </w:pPr>
            <w:r>
              <w:rPr/>
              <w:t>(505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FFFFFF" w:val="clear"/>
            <w:vAlign w:val="center"/>
          </w:tcPr>
          <w:p>
            <w:pPr>
              <w:pStyle w:val="TableContents"/>
              <w:bidi w:val="0"/>
              <w:spacing w:before="0" w:after="283"/>
              <w:jc w:val="left"/>
              <w:rPr/>
            </w:pPr>
            <w:r>
              <w:rPr/>
              <w:t> </w:t>
            </w:r>
          </w:p>
        </w:tc>
        <w:tc>
          <w:tcPr>
            <w:tcW w:w="1079" w:type="dxa"/>
            <w:tcBorders>
              <w:bottom w:val="single" w:sz="12" w:space="0" w:color="000000"/>
            </w:tcBorders>
            <w:shd w:fill="FFFFFF" w:val="cle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3,886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(696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3,190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079"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Other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Lifetime ECL – Credit-impaired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552" w:type="dxa"/>
            <w:tcBorders/>
            <w:shd w:fill="FFFFFF" w:val="clear"/>
            <w:tcMar>
              <w:bottom w:w="0" w:type="dxa"/>
            </w:tcMar>
            <w:vAlign w:val="center"/>
          </w:tcPr>
          <w:p>
            <w:pPr>
              <w:pStyle w:val="TableContents"/>
              <w:bidi w:val="0"/>
              <w:spacing w:before="0" w:after="283"/>
              <w:jc w:val="left"/>
              <w:rPr/>
            </w:pPr>
            <w:r>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3" w:type="dxa"/>
            <w:tcBorders/>
            <w:shd w:fill="FFFFFF" w:val="clear"/>
            <w:tcMar>
              <w:bottom w:w="0" w:type="dxa"/>
            </w:tcMar>
            <w:vAlign w:val="center"/>
          </w:tcPr>
          <w:p>
            <w:pPr>
              <w:pStyle w:val="TableContents"/>
              <w:bidi w:val="0"/>
              <w:spacing w:before="0" w:after="283"/>
              <w:jc w:val="center"/>
              <w:rPr/>
            </w:pPr>
            <w:r>
              <w:rPr/>
              <w:t>12-month ECL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1207" w:type="dxa"/>
            <w:tcBorders>
              <w:bottom w:val="single" w:sz="12" w:space="0" w:color="000000"/>
            </w:tcBorders>
            <w:shd w:fill="FFFFFF" w:val="clear"/>
            <w:vAlign w:val="center"/>
          </w:tcPr>
          <w:p>
            <w:pPr>
              <w:pStyle w:val="TableContents"/>
              <w:bidi w:val="0"/>
              <w:spacing w:before="0" w:after="283"/>
              <w:jc w:val="right"/>
              <w:rPr/>
            </w:pPr>
            <w:r>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1200"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FFFFFF" w:val="clear"/>
            <w:vAlign w:val="center"/>
          </w:tcPr>
          <w:p>
            <w:pPr>
              <w:pStyle w:val="TableContents"/>
              <w:bidi w:val="0"/>
              <w:spacing w:before="0" w:after="283"/>
              <w:jc w:val="left"/>
              <w:rPr/>
            </w:pPr>
            <w:r>
              <w:rPr/>
              <w:t> </w:t>
            </w:r>
          </w:p>
        </w:tc>
        <w:tc>
          <w:tcPr>
            <w:tcW w:w="1079" w:type="dxa"/>
            <w:tcBorders>
              <w:bottom w:val="single" w:sz="12" w:space="0" w:color="000000"/>
            </w:tcBorders>
            <w:shd w:fill="FFFFFF" w:val="clear"/>
            <w:vAlign w:val="center"/>
          </w:tcPr>
          <w:p>
            <w:pPr>
              <w:pStyle w:val="TableContents"/>
              <w:bidi w:val="0"/>
              <w:spacing w:before="0" w:after="283"/>
              <w:jc w:val="right"/>
              <w:rPr/>
            </w:pPr>
            <w:r>
              <w:rPr/>
              <w:t>101</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5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3"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bottom w:val="double" w:sz="10" w:space="0" w:color="000000"/>
            </w:tcBorders>
            <w:shd w:fill="CCEEFF" w:val="clear"/>
            <w:vAlign w:val="center"/>
          </w:tcPr>
          <w:p>
            <w:pPr>
              <w:pStyle w:val="TableContents"/>
              <w:bidi w:val="0"/>
              <w:spacing w:before="0" w:after="283"/>
              <w:jc w:val="left"/>
              <w:rPr/>
            </w:pPr>
            <w:r>
              <w:rPr/>
              <w:t> </w:t>
            </w:r>
          </w:p>
        </w:tc>
        <w:tc>
          <w:tcPr>
            <w:tcW w:w="1207" w:type="dxa"/>
            <w:tcBorders>
              <w:bottom w:val="double" w:sz="10" w:space="0" w:color="000000"/>
            </w:tcBorders>
            <w:shd w:fill="CCEEFF" w:val="clear"/>
            <w:vAlign w:val="center"/>
          </w:tcPr>
          <w:p>
            <w:pPr>
              <w:pStyle w:val="TableContents"/>
              <w:bidi w:val="0"/>
              <w:spacing w:before="0" w:after="283"/>
              <w:jc w:val="right"/>
              <w:rPr/>
            </w:pPr>
            <w:r>
              <w:rPr/>
              <w:t>4,017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CCEEFF" w:val="clear"/>
            <w:vAlign w:val="center"/>
          </w:tcPr>
          <w:p>
            <w:pPr>
              <w:pStyle w:val="TableContents"/>
              <w:bidi w:val="0"/>
              <w:spacing w:before="0" w:after="283"/>
              <w:jc w:val="left"/>
              <w:rPr/>
            </w:pPr>
            <w:r>
              <w:rPr/>
              <w:t> </w:t>
            </w:r>
          </w:p>
        </w:tc>
        <w:tc>
          <w:tcPr>
            <w:tcW w:w="1200" w:type="dxa"/>
            <w:tcBorders>
              <w:bottom w:val="double" w:sz="10" w:space="0" w:color="000000"/>
            </w:tcBorders>
            <w:shd w:fill="CCEEFF" w:val="clear"/>
            <w:vAlign w:val="center"/>
          </w:tcPr>
          <w:p>
            <w:pPr>
              <w:pStyle w:val="TableContents"/>
              <w:bidi w:val="0"/>
              <w:spacing w:before="0" w:after="283"/>
              <w:jc w:val="right"/>
              <w:rPr/>
            </w:pPr>
            <w:r>
              <w:rPr/>
              <w:t>(726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double" w:sz="10" w:space="0" w:color="000000"/>
            </w:tcBorders>
            <w:shd w:fill="CCEEFF" w:val="clear"/>
            <w:vAlign w:val="center"/>
          </w:tcPr>
          <w:p>
            <w:pPr>
              <w:pStyle w:val="TableContents"/>
              <w:bidi w:val="0"/>
              <w:spacing w:before="0" w:after="283"/>
              <w:jc w:val="left"/>
              <w:rPr/>
            </w:pPr>
            <w:r>
              <w:rPr/>
              <w:t> </w:t>
            </w:r>
          </w:p>
        </w:tc>
        <w:tc>
          <w:tcPr>
            <w:tcW w:w="1079" w:type="dxa"/>
            <w:tcBorders>
              <w:bottom w:val="double" w:sz="10" w:space="0" w:color="000000"/>
            </w:tcBorders>
            <w:shd w:fill="CCEEFF" w:val="clear"/>
            <w:vAlign w:val="center"/>
          </w:tcPr>
          <w:p>
            <w:pPr>
              <w:pStyle w:val="TableContents"/>
              <w:bidi w:val="0"/>
              <w:spacing w:before="0" w:after="283"/>
              <w:jc w:val="right"/>
              <w:rPr/>
            </w:pPr>
            <w:r>
              <w:rPr/>
              <w:t>3,291</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reporting period, the maximum exposure to credit risk of the Group is represented by the carrying amount of each class of financial assets recognized in the statements of financial position.</w:t>
      </w:r>
    </w:p>
    <w:p>
      <w:pPr>
        <w:pStyle w:val="TextBody"/>
        <w:bidi w:val="0"/>
        <w:spacing w:before="0" w:after="0"/>
        <w:ind w:left="1440"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9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570" w:type="dxa"/>
            <w:tcBorders/>
            <w:vAlign w:val="center"/>
          </w:tcPr>
          <w:p>
            <w:pPr>
              <w:pStyle w:val="TableContents"/>
              <w:bidi w:val="0"/>
              <w:spacing w:before="0" w:after="283"/>
              <w:jc w:val="both"/>
              <w:rPr/>
            </w:pPr>
            <w:r>
              <w:rPr/>
              <w:t>Liquidity risk management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actively manages its debt maturity profile, operating cash flows and the availability of funding so as to ensure that all operating, investing and financing needs are met. In executing its liquidity risk management strategy, the Group measures and forecasts its cash commitments and maintains a level of cash and cash equivalents deemed adequate to finance the activities of the Group.</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actively managing its operating cash flows to ensure all commitments and funding needs are met. Prudent liquidity risk management implies maintaining sufficient cash, the availability of funding through an adequate amount of committed credit facilities and the ability to close out market positions. Due to the dynamic nature of the underlying businesses, the Group aims at maintaining flexibility in funding by keeping committed credit lines available.</w:t>
      </w:r>
    </w:p>
    <w:p>
      <w:pPr>
        <w:pStyle w:val="TextBody"/>
        <w:bidi w:val="0"/>
        <w:spacing w:before="0" w:after="0"/>
        <w:ind w:left="1440" w:right="0" w:hanging="48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6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32</w:t>
            </w:r>
          </w:p>
        </w:tc>
        <w:tc>
          <w:tcPr>
            <w:tcW w:w="6425" w:type="dxa"/>
            <w:tcBorders/>
            <w:vAlign w:val="center"/>
          </w:tcPr>
          <w:p>
            <w:pPr>
              <w:pStyle w:val="TableContents"/>
              <w:bidi w:val="0"/>
              <w:spacing w:before="0" w:after="283"/>
              <w:jc w:val="both"/>
              <w:rPr/>
            </w:pPr>
            <w:r>
              <w:rPr>
                <w:b/>
              </w:rPr>
              <w:t>CAPITAL AND FINANCIAL RISK MANAGEMENT</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remaining contractual maturities for its non-derivative financial liabilities. The table has been drawn up based on undiscounted cash flows of financial liabilities based on the earlier of the contractual date or when the Company is expected to pay. The table includes both expected interest and principal cash flows.</w:t>
      </w:r>
    </w:p>
    <w:p>
      <w:pPr>
        <w:pStyle w:val="TextBody"/>
        <w:bidi w:val="0"/>
        <w:spacing w:before="0" w:after="0"/>
        <w:ind w:left="144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2915"/>
        <w:gridCol w:w="60"/>
        <w:gridCol w:w="111"/>
        <w:gridCol w:w="1048"/>
        <w:gridCol w:w="60"/>
        <w:gridCol w:w="60"/>
        <w:gridCol w:w="186"/>
        <w:gridCol w:w="1183"/>
        <w:gridCol w:w="60"/>
        <w:gridCol w:w="60"/>
        <w:gridCol w:w="186"/>
        <w:gridCol w:w="1183"/>
        <w:gridCol w:w="60"/>
        <w:gridCol w:w="60"/>
        <w:gridCol w:w="128"/>
        <w:gridCol w:w="821"/>
        <w:gridCol w:w="60"/>
        <w:gridCol w:w="60"/>
        <w:gridCol w:w="139"/>
        <w:gridCol w:w="1305"/>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Less than </w:t>
              <w:br/>
              <w:t xml:space="preserve">1 year or </w:t>
              <w:br/>
              <w:t>on demand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Between </w:t>
              <w:br/>
              <w:t>1 and 2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Between </w:t>
              <w:br/>
              <w:t>2 and 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Over </w:t>
              <w:br/>
              <w: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 xml:space="preserve">undiscounted </w:t>
              <w:br/>
              <w:t>cash flow</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i/>
              </w:rPr>
            </w:pPr>
            <w:r>
              <w:rPr>
                <w:i/>
              </w:rPr>
              <w:t>June 30, 2025</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1,140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1,378</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1,357</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Borrowings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1,255</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113</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1,726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FFFFFF" w:val="clear"/>
            <w:tcMar>
              <w:bottom w:w="28" w:type="dxa"/>
            </w:tcMar>
            <w:vAlign w:val="center"/>
          </w:tcPr>
          <w:p>
            <w:pPr>
              <w:pStyle w:val="TableContents"/>
              <w:bidi w:val="0"/>
              <w:spacing w:before="0" w:after="283"/>
              <w:jc w:val="right"/>
              <w:rPr/>
            </w:pPr>
            <w:r>
              <w:rPr/>
              <w:t>1,726</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pPr>
            <w:r>
              <w:rPr/>
              <w:t>5,757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6,969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i/>
              </w:rPr>
            </w:pPr>
            <w:r>
              <w:rPr>
                <w:i/>
              </w:rPr>
              <w:t>June 30, 2024</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1,811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755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1,716</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82</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Amounts due to shareholders</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pPr>
            <w:r>
              <w:rPr/>
              <w:t>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414</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4,599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FFFFFF" w:val="clear"/>
            <w:tcMar>
              <w:bottom w:w="28" w:type="dxa"/>
            </w:tcMar>
            <w:vAlign w:val="center"/>
          </w:tcPr>
          <w:p>
            <w:pPr>
              <w:pStyle w:val="TableContents"/>
              <w:bidi w:val="0"/>
              <w:spacing w:before="0" w:after="283"/>
              <w:jc w:val="right"/>
              <w:rPr/>
            </w:pPr>
            <w:r>
              <w:rPr/>
              <w:t>6,256</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i/>
              </w:rPr>
            </w:pPr>
            <w:r>
              <w:rPr>
                <w:i/>
              </w:rPr>
              <w:t>June 30, 2023</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1,648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1,470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Borrowings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1,627</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295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FFFFFF" w:val="clear"/>
            <w:tcMar>
              <w:bottom w:w="28" w:type="dxa"/>
            </w:tcMar>
            <w:vAlign w:val="center"/>
          </w:tcPr>
          <w:p>
            <w:pPr>
              <w:pStyle w:val="TableContents"/>
              <w:bidi w:val="0"/>
              <w:spacing w:before="0" w:after="283"/>
              <w:jc w:val="right"/>
              <w:rPr/>
            </w:pPr>
            <w:r>
              <w:rPr/>
              <w:t>419</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pPr>
            <w:r>
              <w:rPr/>
              <w:t>4,003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12" w:space="0" w:color="000000"/>
            </w:tcBorders>
            <w:shd w:fill="CCEEFF" w:val="clear"/>
            <w:tcMar>
              <w:bottom w:w="28" w:type="dxa"/>
            </w:tcMar>
            <w:vAlign w:val="center"/>
          </w:tcPr>
          <w:p>
            <w:pPr>
              <w:pStyle w:val="TableContents"/>
              <w:bidi w:val="0"/>
              <w:spacing w:before="0" w:after="283"/>
              <w:jc w:val="right"/>
              <w:rPr/>
            </w:pPr>
            <w:r>
              <w:rPr/>
              <w:t>6,018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35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1535" w:type="dxa"/>
            <w:tcBorders/>
            <w:vAlign w:val="center"/>
          </w:tcPr>
          <w:p>
            <w:pPr>
              <w:pStyle w:val="TableContents"/>
              <w:bidi w:val="0"/>
              <w:spacing w:before="0" w:after="283"/>
              <w:jc w:val="both"/>
              <w:rPr/>
            </w:pPr>
            <w:r>
              <w:rPr/>
              <w:t>Interest rate risk</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or future cash flows of the financial instruments of the Group would fluctuate because of changes in market interest rates. The exposure of the Group to interest rates risk arises primarily from their floating interest rate borrowings such as variable rate. This policy is managed centrally. The Group does not use derivative financial instruments to hedge this risk.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profile and sensitivity analysis of interest rate risk have been disclosed in Note 15 to the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jc w:val="center"/>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6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32</w:t>
            </w:r>
          </w:p>
        </w:tc>
        <w:tc>
          <w:tcPr>
            <w:tcW w:w="6425" w:type="dxa"/>
            <w:tcBorders/>
            <w:vAlign w:val="center"/>
          </w:tcPr>
          <w:p>
            <w:pPr>
              <w:pStyle w:val="TableContents"/>
              <w:bidi w:val="0"/>
              <w:spacing w:before="0" w:after="283"/>
              <w:jc w:val="both"/>
              <w:rPr/>
            </w:pPr>
            <w:r>
              <w:rPr>
                <w:b/>
              </w:rPr>
              <w:t>CAPITAL AND FINANCIAL RISK MANAGEMENT</w:t>
            </w:r>
            <w:r>
              <w:rPr/>
              <w:t xml:space="preserve"> (cont.)</w:t>
            </w:r>
          </w:p>
        </w:tc>
      </w:tr>
    </w:tbl>
    <w:p>
      <w:pPr>
        <w:pStyle w:val="TextBody"/>
        <w:bidi w:val="0"/>
        <w:spacing w:before="0" w:after="0"/>
        <w:jc w:val="center"/>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35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2060" w:type="dxa"/>
            <w:tcBorders/>
            <w:vAlign w:val="center"/>
          </w:tcPr>
          <w:p>
            <w:pPr>
              <w:pStyle w:val="TableContents"/>
              <w:bidi w:val="0"/>
              <w:spacing w:before="0" w:after="283"/>
              <w:jc w:val="both"/>
              <w:rPr/>
            </w:pPr>
            <w:r>
              <w:rPr/>
              <w:t>Foreign currency risk</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 arises when individual entities within the Group enters into transactions denominated in a currency other than their functional currency and forward currency contracts. The Group’s policy is, where possible, to allow individual entities within the Group to settle liabilities denominated in their functional currency) with the cash generated from their own operations in that currency. Where individual entities within the Group have liabilities denominated in a currency other than their functional currency (and have insufficient reserves of that currency to settle them), cash already denominated in that currency will, where possible, be transferred from elsewhere within the Group.</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960" w:right="0" w:firstLine="48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Derivative financial instruments </w:t>
      </w:r>
    </w:p>
    <w:p>
      <w:pPr>
        <w:pStyle w:val="TextBody"/>
        <w:bidi w:val="0"/>
        <w:spacing w:before="0" w:after="0"/>
        <w:ind w:left="960" w:right="0" w:firstLine="480"/>
        <w:jc w:val="both"/>
        <w:rPr>
          <w:caps w:val="false"/>
          <w:smallCaps w:val="false"/>
        </w:rPr>
      </w:pPr>
      <w:r>
        <w:rPr>
          <w:caps w:val="false"/>
          <w:smallCaps w:val="false"/>
        </w:rPr>
        <w:t> </w:t>
      </w:r>
    </w:p>
    <w:p>
      <w:pPr>
        <w:pStyle w:val="TextBody"/>
        <w:bidi w:val="0"/>
        <w:spacing w:before="0" w:after="0"/>
        <w:ind w:left="96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out the derivative financial instruments as at the end of the reporting period:</w:t>
      </w:r>
    </w:p>
    <w:p>
      <w:pPr>
        <w:pStyle w:val="TextBody"/>
        <w:bidi w:val="0"/>
        <w:spacing w:before="0" w:after="0"/>
        <w:ind w:left="960" w:right="0" w:firstLine="48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4115"/>
        <w:gridCol w:w="60"/>
        <w:gridCol w:w="177"/>
        <w:gridCol w:w="772"/>
        <w:gridCol w:w="122"/>
        <w:gridCol w:w="122"/>
        <w:gridCol w:w="177"/>
        <w:gridCol w:w="772"/>
        <w:gridCol w:w="122"/>
        <w:gridCol w:w="122"/>
        <w:gridCol w:w="128"/>
        <w:gridCol w:w="821"/>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Contract/Notional amount</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Forward currency contracts – United States Dollar</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400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derivative financial instruments such as forward currency contracts to hedge its risks associated with foreign currency fluctuations. Such derivative financial instruments are initially recognized at fair value on the date on which a derivative contract is entered into, and are subsequently re-measured at fair value. Any gains or losses arising from changes in fair value on derivatives that do not qualify for hedge accounting are taken directly to the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year end, the Group has re-measured the derivative financial instruments at fair value which is categorized as Level 2 in the fair value hierarchy, the changes in fair value arising since the date of inception in relation to the forward currency contracts expect to be clearly trivial.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into account factors impacting the foreign currency being 10% higher or lower than expected, this would result a potential outcome in an increase or decrease of the foreign currency exchange difference amounting to approximately USD40,000 (2024: USD Nil; 2023: USD Nil)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6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32</w:t>
            </w:r>
          </w:p>
        </w:tc>
        <w:tc>
          <w:tcPr>
            <w:tcW w:w="6425" w:type="dxa"/>
            <w:tcBorders/>
            <w:vAlign w:val="center"/>
          </w:tcPr>
          <w:p>
            <w:pPr>
              <w:pStyle w:val="TableContents"/>
              <w:bidi w:val="0"/>
              <w:spacing w:before="0" w:after="283"/>
              <w:jc w:val="both"/>
              <w:rPr/>
            </w:pPr>
            <w:r>
              <w:rPr>
                <w:b/>
              </w:rPr>
              <w:t>CAPITAL AND FINANCIAL RISK MANAGEMENT</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foreign currency risk on transactions that are denominated in currencies other than the functional currencies of the operating entities. Exposure in foreign currency is monitored on an ongoing basis and the Group endeavors to keep the net exposure at an acceptable level.</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foreign currency profile and sensitivity analysis have been disclosed in the following.</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8"/>
        <w:gridCol w:w="60"/>
        <w:gridCol w:w="80"/>
        <w:gridCol w:w="857"/>
        <w:gridCol w:w="95"/>
        <w:gridCol w:w="60"/>
        <w:gridCol w:w="132"/>
        <w:gridCol w:w="1247"/>
        <w:gridCol w:w="95"/>
        <w:gridCol w:w="60"/>
        <w:gridCol w:w="97"/>
        <w:gridCol w:w="922"/>
        <w:gridCol w:w="95"/>
        <w:gridCol w:w="60"/>
        <w:gridCol w:w="111"/>
        <w:gridCol w:w="849"/>
        <w:gridCol w:w="95"/>
        <w:gridCol w:w="60"/>
        <w:gridCol w:w="78"/>
        <w:gridCol w:w="598"/>
        <w:gridCol w:w="95"/>
        <w:gridCol w:w="60"/>
        <w:gridCol w:w="178"/>
        <w:gridCol w:w="998"/>
        <w:gridCol w:w="115"/>
      </w:tblGrid>
      <w:tr>
        <w:trPr/>
        <w:tc>
          <w:tcPr>
            <w:tcW w:w="3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Ringgit </w:t>
              <w:br/>
              <w:t>Malaysia</w:t>
              <w:br/>
              <w:t>(MYR)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United States </w:t>
              <w:br/>
              <w:t>Dollar</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Indonesia </w:t>
              <w:br/>
              <w:t>Rupiah</w:t>
              <w:br/>
              <w:t>(IDR)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Japanese </w:t>
              <w:br/>
              <w:t>Yen</w:t>
              <w:br/>
              <w:t>(JPY)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Euro</w:t>
              <w:br/>
              <w:t>(EUR)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Singapore Dollar</w:t>
              <w:br/>
              <w:t>(SGD)</w:t>
            </w:r>
          </w:p>
        </w:tc>
        <w:tc>
          <w:tcPr>
            <w:tcW w:w="115" w:type="dxa"/>
            <w:tcBorders/>
            <w:vAlign w:val="center"/>
          </w:tcPr>
          <w:p>
            <w:pPr>
              <w:pStyle w:val="TableContents"/>
              <w:bidi w:val="0"/>
              <w:spacing w:before="0" w:after="283"/>
              <w:jc w:val="left"/>
              <w:rPr/>
            </w:pPr>
            <w:r>
              <w:rPr/>
              <w:t> </w:t>
            </w:r>
          </w:p>
        </w:tc>
      </w:tr>
      <w:tr>
        <w:trPr/>
        <w:tc>
          <w:tcPr>
            <w:tcW w:w="3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center"/>
              <w:rPr>
                <w:b/>
              </w:rPr>
            </w:pPr>
            <w:r>
              <w:rPr>
                <w:b/>
              </w:rPr>
              <w:t>USD’000</w:t>
            </w:r>
          </w:p>
        </w:tc>
        <w:tc>
          <w:tcPr>
            <w:tcW w:w="115" w:type="dxa"/>
            <w:tcBorders/>
            <w:vAlign w:val="center"/>
          </w:tcPr>
          <w:p>
            <w:pPr>
              <w:pStyle w:val="TableContents"/>
              <w:bidi w:val="0"/>
              <w:spacing w:before="0" w:after="283"/>
              <w:jc w:val="left"/>
              <w:rPr/>
            </w:pPr>
            <w:r>
              <w:rPr/>
              <w:t> </w:t>
            </w:r>
          </w:p>
        </w:tc>
      </w:tr>
      <w:tr>
        <w:trPr/>
        <w:tc>
          <w:tcPr>
            <w:tcW w:w="3108" w:type="dxa"/>
            <w:tcBorders/>
            <w:vAlign w:val="center"/>
          </w:tcPr>
          <w:p>
            <w:pPr>
              <w:pStyle w:val="TableContents"/>
              <w:bidi w:val="0"/>
              <w:spacing w:before="0" w:after="283"/>
              <w:jc w:val="left"/>
              <w:rPr/>
            </w:pPr>
            <w:r>
              <w:rPr/>
              <w:t>June 30, 2025</w:t>
            </w:r>
          </w:p>
        </w:tc>
        <w:tc>
          <w:tcPr>
            <w:tcW w:w="60"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108" w:type="dxa"/>
            <w:tcBorders/>
            <w:vAlign w:val="center"/>
          </w:tcPr>
          <w:p>
            <w:pPr>
              <w:pStyle w:val="TableContents"/>
              <w:bidi w:val="0"/>
              <w:spacing w:before="0" w:after="283"/>
              <w:jc w:val="left"/>
              <w:rPr>
                <w:b/>
                <w:u w:val="single"/>
              </w:rPr>
            </w:pPr>
            <w:r>
              <w:rPr>
                <w:b/>
                <w:u w:val="single"/>
              </w:rPr>
              <w:t>Financial assets</w:t>
            </w:r>
          </w:p>
        </w:tc>
        <w:tc>
          <w:tcPr>
            <w:tcW w:w="60"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23</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59</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1,239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1,396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b/>
                <w:u w:val="single"/>
              </w:rPr>
            </w:pPr>
            <w:r>
              <w:rPr>
                <w:b/>
                <w:u w:val="single"/>
              </w:rPr>
              <w:t>Financial liabilities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1,047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2,980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1,027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2,301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pPr>
            <w:r>
              <w:rPr/>
              <w:t>Net financial assets/(liabilities)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(1,328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pPr>
            <w:r>
              <w:rPr/>
              <w:t>(273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3108" w:type="dxa"/>
            <w:tcBorders/>
            <w:shd w:fill="CCEEFF" w:val="clear"/>
            <w:vAlign w:val="center"/>
          </w:tcPr>
          <w:p>
            <w:pPr>
              <w:pStyle w:val="TableContents"/>
              <w:bidi w:val="0"/>
              <w:spacing w:before="0" w:after="283"/>
              <w:jc w:val="left"/>
              <w:rPr/>
            </w:pPr>
            <w:r>
              <w:rPr/>
              <w:t>Add: Net financial assets/(liabilities) denominated respective entities’ functional currency</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3108" w:type="dxa"/>
            <w:tcBorders/>
            <w:shd w:fill="FFFFFF" w:val="clear"/>
            <w:vAlign w:val="center"/>
          </w:tcPr>
          <w:p>
            <w:pPr>
              <w:pStyle w:val="TableContents"/>
              <w:bidi w:val="0"/>
              <w:spacing w:before="0" w:after="283"/>
              <w:jc w:val="left"/>
              <w:rPr>
                <w:b/>
              </w:rPr>
            </w:pPr>
            <w:r>
              <w:rPr>
                <w:b/>
              </w:rPr>
              <w:t>Currency exposure of financial assets/(liabilities), net of those denominated in the Company’s functional currency</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(814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pPr>
            <w:r>
              <w:rPr/>
              <w:t>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(229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6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32</w:t>
            </w:r>
          </w:p>
        </w:tc>
        <w:tc>
          <w:tcPr>
            <w:tcW w:w="6425" w:type="dxa"/>
            <w:tcBorders/>
            <w:vAlign w:val="center"/>
          </w:tcPr>
          <w:p>
            <w:pPr>
              <w:pStyle w:val="TableContents"/>
              <w:bidi w:val="0"/>
              <w:spacing w:before="0" w:after="283"/>
              <w:jc w:val="both"/>
              <w:rPr/>
            </w:pPr>
            <w:r>
              <w:rPr>
                <w:b/>
              </w:rPr>
              <w:t>CAPITAL AND FINANCIAL RISK MANAGEMENT</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8"/>
        <w:gridCol w:w="60"/>
        <w:gridCol w:w="80"/>
        <w:gridCol w:w="858"/>
        <w:gridCol w:w="95"/>
        <w:gridCol w:w="60"/>
        <w:gridCol w:w="188"/>
        <w:gridCol w:w="1199"/>
        <w:gridCol w:w="95"/>
        <w:gridCol w:w="60"/>
        <w:gridCol w:w="98"/>
        <w:gridCol w:w="929"/>
        <w:gridCol w:w="95"/>
        <w:gridCol w:w="60"/>
        <w:gridCol w:w="111"/>
        <w:gridCol w:w="855"/>
        <w:gridCol w:w="95"/>
        <w:gridCol w:w="60"/>
        <w:gridCol w:w="97"/>
        <w:gridCol w:w="621"/>
        <w:gridCol w:w="81"/>
      </w:tblGrid>
      <w:tr>
        <w:trPr/>
        <w:tc>
          <w:tcPr>
            <w:tcW w:w="4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Ringgit </w:t>
              <w:br/>
              <w:t>Malaysia</w:t>
              <w:br/>
              <w:t>(MYR)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United States </w:t>
              <w:br/>
              <w:t>Dollar</w:t>
              <w:b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Indonesia </w:t>
              <w:br/>
              <w:t>Rupiah</w:t>
              <w:br/>
              <w:t>(IDR)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Japanese </w:t>
              <w:br/>
              <w:t>Yen</w:t>
              <w:br/>
              <w:t>(JPY)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Euro</w:t>
              <w:br/>
              <w:t>(EUR)</w:t>
            </w:r>
          </w:p>
        </w:tc>
        <w:tc>
          <w:tcPr>
            <w:tcW w:w="81" w:type="dxa"/>
            <w:tcBorders/>
            <w:vAlign w:val="center"/>
          </w:tcPr>
          <w:p>
            <w:pPr>
              <w:pStyle w:val="TableContents"/>
              <w:bidi w:val="0"/>
              <w:spacing w:before="0" w:after="283"/>
              <w:jc w:val="center"/>
              <w:rPr/>
            </w:pPr>
            <w:r>
              <w:rPr/>
              <w:t> </w:t>
            </w:r>
          </w:p>
        </w:tc>
      </w:tr>
      <w:tr>
        <w:trPr/>
        <w:tc>
          <w:tcPr>
            <w:tcW w:w="4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8"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7"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7"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6" w:type="dxa"/>
            <w:gridSpan w:val="2"/>
            <w:tcBorders/>
            <w:vAlign w:val="center"/>
          </w:tcPr>
          <w:p>
            <w:pPr>
              <w:pStyle w:val="TableContents"/>
              <w:bidi w:val="0"/>
              <w:spacing w:before="0" w:after="283"/>
              <w:jc w:val="center"/>
              <w:rPr>
                <w:b/>
              </w:rPr>
            </w:pPr>
            <w:r>
              <w:rPr>
                <w:b/>
              </w:rPr>
              <w:t>USD’000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8" w:type="dxa"/>
            <w:gridSpan w:val="2"/>
            <w:tcBorders/>
            <w:vAlign w:val="center"/>
          </w:tcPr>
          <w:p>
            <w:pPr>
              <w:pStyle w:val="TableContents"/>
              <w:bidi w:val="0"/>
              <w:spacing w:before="0" w:after="283"/>
              <w:jc w:val="center"/>
              <w:rPr>
                <w:b/>
              </w:rPr>
            </w:pPr>
            <w:r>
              <w:rPr>
                <w:b/>
              </w:rPr>
              <w:t>USD’000</w:t>
            </w:r>
          </w:p>
        </w:tc>
        <w:tc>
          <w:tcPr>
            <w:tcW w:w="81" w:type="dxa"/>
            <w:tcBorders/>
            <w:vAlign w:val="center"/>
          </w:tcPr>
          <w:p>
            <w:pPr>
              <w:pStyle w:val="TableContents"/>
              <w:bidi w:val="0"/>
              <w:spacing w:before="0" w:after="283"/>
              <w:jc w:val="center"/>
              <w:rPr/>
            </w:pPr>
            <w:r>
              <w:rPr/>
              <w:t> </w:t>
            </w:r>
          </w:p>
        </w:tc>
      </w:tr>
      <w:tr>
        <w:trPr/>
        <w:tc>
          <w:tcPr>
            <w:tcW w:w="4408" w:type="dxa"/>
            <w:tcBorders/>
            <w:vAlign w:val="center"/>
          </w:tcPr>
          <w:p>
            <w:pPr>
              <w:pStyle w:val="TableContents"/>
              <w:bidi w:val="0"/>
              <w:spacing w:before="0" w:after="283"/>
              <w:jc w:val="left"/>
              <w:rPr/>
            </w:pPr>
            <w:r>
              <w:rPr/>
              <w:t>June 30, 2024</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8"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408" w:type="dxa"/>
            <w:tcBorders/>
            <w:vAlign w:val="center"/>
          </w:tcPr>
          <w:p>
            <w:pPr>
              <w:pStyle w:val="TableContents"/>
              <w:bidi w:val="0"/>
              <w:spacing w:before="0" w:after="283"/>
              <w:jc w:val="left"/>
              <w:rPr>
                <w:b/>
                <w:u w:val="single"/>
              </w:rPr>
            </w:pPr>
            <w:r>
              <w:rPr>
                <w:b/>
                <w:u w:val="single"/>
              </w:rPr>
              <w:t>Financial assets</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8"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103</w:t>
            </w:r>
          </w:p>
        </w:tc>
        <w:tc>
          <w:tcPr>
            <w:tcW w:w="81" w:type="dxa"/>
            <w:tcBorders/>
            <w:shd w:fill="CCEEFF" w:val="clear"/>
            <w:vAlign w:val="center"/>
          </w:tcPr>
          <w:p>
            <w:pPr>
              <w:pStyle w:val="TableContents"/>
              <w:bidi w:val="0"/>
              <w:spacing w:before="0" w:after="283"/>
              <w:jc w:val="left"/>
              <w:rPr/>
            </w:pPr>
            <w:r>
              <w:rPr/>
              <w:t> </w:t>
            </w:r>
          </w:p>
        </w:tc>
      </w:tr>
      <w:tr>
        <w:trPr/>
        <w:tc>
          <w:tcPr>
            <w:tcW w:w="4408"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580</w:t>
            </w:r>
          </w:p>
        </w:tc>
        <w:tc>
          <w:tcPr>
            <w:tcW w:w="81" w:type="dxa"/>
            <w:tcBorders/>
            <w:shd w:fill="FFFFFF" w:val="clear"/>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4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1,894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FFFFFF" w:val="clear"/>
            <w:tcMar>
              <w:bottom w:w="28" w:type="dxa"/>
            </w:tcMar>
            <w:vAlign w:val="center"/>
          </w:tcPr>
          <w:p>
            <w:pPr>
              <w:pStyle w:val="TableContents"/>
              <w:bidi w:val="0"/>
              <w:spacing w:before="0" w:after="283"/>
              <w:jc w:val="right"/>
              <w:rPr/>
            </w:pPr>
            <w:r>
              <w:rPr/>
              <w:t>683</w:t>
            </w:r>
          </w:p>
        </w:tc>
        <w:tc>
          <w:tcPr>
            <w:tcW w:w="81" w:type="dxa"/>
            <w:tcBorders/>
            <w:shd w:fill="FFFFFF" w:val="clear"/>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408" w:type="dxa"/>
            <w:tcBorders/>
            <w:shd w:fill="FFFFFF" w:val="clear"/>
            <w:vAlign w:val="center"/>
          </w:tcPr>
          <w:p>
            <w:pPr>
              <w:pStyle w:val="TableContents"/>
              <w:bidi w:val="0"/>
              <w:spacing w:before="0" w:after="283"/>
              <w:jc w:val="left"/>
              <w:rPr>
                <w:b/>
                <w:u w:val="single"/>
              </w:rPr>
            </w:pPr>
            <w:r>
              <w:rPr>
                <w:b/>
                <w:u w:val="single"/>
              </w:rPr>
              <w:t>Financial liabilities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320</w:t>
            </w:r>
          </w:p>
        </w:tc>
        <w:tc>
          <w:tcPr>
            <w:tcW w:w="81" w:type="dxa"/>
            <w:tcBorders/>
            <w:shd w:fill="CCEEFF" w:val="clear"/>
            <w:vAlign w:val="center"/>
          </w:tcPr>
          <w:p>
            <w:pPr>
              <w:pStyle w:val="TableContents"/>
              <w:bidi w:val="0"/>
              <w:spacing w:before="0" w:after="283"/>
              <w:jc w:val="left"/>
              <w:rPr/>
            </w:pPr>
            <w:r>
              <w:rPr/>
              <w:t> </w:t>
            </w:r>
          </w:p>
        </w:tc>
      </w:tr>
      <w:tr>
        <w:trPr/>
        <w:tc>
          <w:tcPr>
            <w:tcW w:w="4408"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Borrowings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408"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pPr>
            <w:r>
              <w:rPr/>
              <w:t>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408" w:type="dxa"/>
            <w:tcBorders/>
            <w:shd w:fill="FFFFFF" w:val="clear"/>
            <w:vAlign w:val="center"/>
          </w:tcPr>
          <w:p>
            <w:pPr>
              <w:pStyle w:val="TableContents"/>
              <w:bidi w:val="0"/>
              <w:spacing w:before="0" w:after="283"/>
              <w:jc w:val="left"/>
              <w:rPr/>
            </w:pPr>
            <w:r>
              <w:rPr/>
              <w:t>Amounts due to shareholders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4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3,298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1,823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center"/>
          </w:tcPr>
          <w:p>
            <w:pPr>
              <w:pStyle w:val="TableContents"/>
              <w:bidi w:val="0"/>
              <w:spacing w:before="0" w:after="283"/>
              <w:jc w:val="right"/>
              <w:rPr/>
            </w:pPr>
            <w:r>
              <w:rPr/>
              <w:t>320</w:t>
            </w:r>
          </w:p>
        </w:tc>
        <w:tc>
          <w:tcPr>
            <w:tcW w:w="81" w:type="dxa"/>
            <w:tcBorders/>
            <w:shd w:fill="CCEEFF" w:val="clear"/>
            <w:vAlign w:val="center"/>
          </w:tcPr>
          <w:p>
            <w:pPr>
              <w:pStyle w:val="TableContents"/>
              <w:bidi w:val="0"/>
              <w:spacing w:before="0" w:after="283"/>
              <w:jc w:val="left"/>
              <w:rPr/>
            </w:pPr>
            <w:r>
              <w:rPr/>
              <w:t> </w:t>
            </w:r>
          </w:p>
        </w:tc>
      </w:tr>
      <w:tr>
        <w:trPr/>
        <w:tc>
          <w:tcPr>
            <w:tcW w:w="4408" w:type="dxa"/>
            <w:tcBorders/>
            <w:shd w:fill="FFFFFF" w:val="clear"/>
            <w:vAlign w:val="center"/>
          </w:tcPr>
          <w:p>
            <w:pPr>
              <w:pStyle w:val="TableContents"/>
              <w:bidi w:val="0"/>
              <w:spacing w:before="0" w:after="283"/>
              <w:jc w:val="left"/>
              <w:rPr/>
            </w:pPr>
            <w:r>
              <w:rPr/>
              <w:t>Net financial assets/(liabilities)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(1,689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408" w:type="dxa"/>
            <w:tcBorders/>
            <w:shd w:fill="CCEEFF" w:val="clear"/>
            <w:vAlign w:val="center"/>
          </w:tcPr>
          <w:p>
            <w:pPr>
              <w:pStyle w:val="TableContents"/>
              <w:bidi w:val="0"/>
              <w:spacing w:before="0" w:after="283"/>
              <w:jc w:val="left"/>
              <w:rPr/>
            </w:pPr>
            <w:r>
              <w:rPr/>
              <w:t>Add: Net financial assets/(liabilities) denominated respective entities’ functional currency</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center"/>
          </w:tcPr>
          <w:p>
            <w:pPr>
              <w:pStyle w:val="TableContents"/>
              <w:bidi w:val="0"/>
              <w:spacing w:before="0" w:after="283"/>
              <w:jc w:val="right"/>
              <w:rPr/>
            </w:pPr>
            <w:r>
              <w:rPr/>
              <w:t>1,694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CCEEFF" w:val="clear"/>
            <w:tcMar>
              <w:bottom w:w="28" w:type="dxa"/>
            </w:tcM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408" w:type="dxa"/>
            <w:tcBorders/>
            <w:shd w:fill="FFFFFF" w:val="clear"/>
            <w:vAlign w:val="center"/>
          </w:tcPr>
          <w:p>
            <w:pPr>
              <w:pStyle w:val="TableContents"/>
              <w:bidi w:val="0"/>
              <w:spacing w:before="0" w:after="283"/>
              <w:jc w:val="left"/>
              <w:rPr>
                <w:b/>
              </w:rPr>
            </w:pPr>
            <w:r>
              <w:rPr>
                <w:b/>
              </w:rPr>
              <w:t>Currency exposure of financial assets/(liabilities), net of those denominated in the Company’s functional currency</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8"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9"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Strengthening of USD against the foreign currencies denominated balances as at the reporting date would increase/(decrease) profit or loss by the amounts shown below. The analysis assumes that all other variables remain constant.</w:t>
      </w:r>
    </w:p>
    <w:p>
      <w:pPr>
        <w:pStyle w:val="TextBody"/>
        <w:bidi w:val="0"/>
        <w:spacing w:before="0" w:after="0"/>
        <w:ind w:left="1440" w:right="0" w:hanging="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20"/>
        <w:gridCol w:w="60"/>
        <w:gridCol w:w="150"/>
        <w:gridCol w:w="841"/>
        <w:gridCol w:w="238"/>
        <w:gridCol w:w="150"/>
        <w:gridCol w:w="150"/>
        <w:gridCol w:w="841"/>
        <w:gridCol w:w="110"/>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Profit or loss (after tax)</w:t>
            </w:r>
          </w:p>
        </w:tc>
        <w:tc>
          <w:tcPr>
            <w:tcW w:w="11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center"/>
              <w:rPr>
                <w:b/>
              </w:rPr>
            </w:pPr>
            <w:r>
              <w:rPr>
                <w:b/>
              </w:rPr>
              <w:t>USD’000</w:t>
            </w:r>
          </w:p>
        </w:tc>
        <w:tc>
          <w:tcPr>
            <w:tcW w:w="23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center"/>
              <w:rPr>
                <w:b/>
              </w:rPr>
            </w:pPr>
            <w:r>
              <w:rPr>
                <w:b/>
              </w:rPr>
              <w:t>USD’000</w:t>
            </w:r>
          </w:p>
        </w:tc>
        <w:tc>
          <w:tcPr>
            <w:tcW w:w="11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MYR strengthening 10%</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(1</w:t>
            </w:r>
          </w:p>
        </w:tc>
        <w:tc>
          <w:tcPr>
            <w:tcW w:w="238"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USD strengthening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4</w:t>
            </w:r>
          </w:p>
        </w:tc>
        <w:tc>
          <w:tcPr>
            <w:tcW w:w="23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pPr>
            <w:r>
              <w:rPr/>
              <w:t>IDR strengthening 10%</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4</w:t>
            </w:r>
          </w:p>
        </w:tc>
        <w:tc>
          <w:tcPr>
            <w:tcW w:w="23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JPY strengthening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23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p>
        </w:tc>
      </w:tr>
      <w:tr>
        <w:trPr/>
        <w:tc>
          <w:tcPr>
            <w:tcW w:w="2420" w:type="dxa"/>
            <w:tcBorders/>
            <w:shd w:fill="CCEEFF" w:val="clear"/>
            <w:vAlign w:val="center"/>
          </w:tcPr>
          <w:p>
            <w:pPr>
              <w:pStyle w:val="TableContents"/>
              <w:bidi w:val="0"/>
              <w:spacing w:before="0" w:after="283"/>
              <w:jc w:val="left"/>
              <w:rPr/>
            </w:pPr>
            <w:r>
              <w:rPr/>
              <w:t>EUR strengthening 10%</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(36</w:t>
            </w:r>
          </w:p>
        </w:tc>
        <w:tc>
          <w:tcPr>
            <w:tcW w:w="238"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SGD strengthening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23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Weakening of USD against the above currencies would have had equal but opposite effect on the above currencies to the amounts shown above, on the basis that all other variables remain constant.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480" w:right="0" w:hanging="48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6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32</w:t>
            </w:r>
          </w:p>
        </w:tc>
        <w:tc>
          <w:tcPr>
            <w:tcW w:w="6425" w:type="dxa"/>
            <w:tcBorders/>
            <w:vAlign w:val="center"/>
          </w:tcPr>
          <w:p>
            <w:pPr>
              <w:pStyle w:val="TableContents"/>
              <w:bidi w:val="0"/>
              <w:spacing w:before="0" w:after="283"/>
              <w:jc w:val="both"/>
              <w:rPr/>
            </w:pPr>
            <w:r>
              <w:rPr>
                <w:b/>
              </w:rPr>
              <w:t>CAPITAL AND FINANCIAL RISK MANAGEMENT</w:t>
            </w:r>
            <w:r>
              <w:rPr/>
              <w:t xml:space="preserve"> (cont.)</w:t>
            </w:r>
          </w:p>
        </w:tc>
      </w:tr>
    </w:tbl>
    <w:p>
      <w:pPr>
        <w:pStyle w:val="TextBody"/>
        <w:bidi w:val="0"/>
        <w:spacing w:before="0" w:after="0"/>
        <w:ind w:left="480" w:right="0" w:hanging="48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29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w:t>
            </w:r>
          </w:p>
        </w:tc>
        <w:tc>
          <w:tcPr>
            <w:tcW w:w="1070" w:type="dxa"/>
            <w:tcBorders/>
            <w:vAlign w:val="center"/>
          </w:tcPr>
          <w:p>
            <w:pPr>
              <w:pStyle w:val="TableContents"/>
              <w:bidi w:val="0"/>
              <w:spacing w:before="0" w:after="283"/>
              <w:jc w:val="both"/>
              <w:rPr/>
            </w:pPr>
            <w:r>
              <w:rPr/>
              <w:t>Fair values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Fair value hierarchy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an analysis of financial instruments that are measured subsequent to initial recognition at fair value, grouped into Level 1 to Level 3 based on the degree to which the fair value is observable.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
        <w:gridCol w:w="635"/>
        <w:gridCol w:w="9498"/>
      </w:tblGrid>
      <w:tr>
        <w:trPr/>
        <w:tc>
          <w:tcPr>
            <w:tcW w:w="72" w:type="dxa"/>
            <w:tcBorders/>
            <w:vAlign w:val="center"/>
          </w:tcPr>
          <w:p>
            <w:pPr>
              <w:pStyle w:val="TableContents"/>
              <w:bidi w:val="0"/>
              <w:spacing w:before="0" w:after="283"/>
              <w:ind w:left="0" w:right="0" w:hanging="200"/>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94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measurements are those derived from quoted prices (unadjusted) in active markets for identical assets or liabilities.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
        <w:gridCol w:w="635"/>
        <w:gridCol w:w="9513"/>
      </w:tblGrid>
      <w:tr>
        <w:trPr/>
        <w:tc>
          <w:tcPr>
            <w:tcW w:w="57" w:type="dxa"/>
            <w:tcBorders/>
            <w:vAlign w:val="center"/>
          </w:tcPr>
          <w:p>
            <w:pPr>
              <w:pStyle w:val="TableContents"/>
              <w:bidi w:val="0"/>
              <w:spacing w:before="0" w:after="283"/>
              <w:ind w:left="0" w:right="0" w:hanging="200"/>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5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measurements are those derived from inputs other than quoted prices included within Level 1 that are observable for the asset or liability, either directly (i.e. as prices) or indirectly (i.e. derived from prices).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
        <w:gridCol w:w="635"/>
        <w:gridCol w:w="9504"/>
      </w:tblGrid>
      <w:tr>
        <w:trPr/>
        <w:tc>
          <w:tcPr>
            <w:tcW w:w="66" w:type="dxa"/>
            <w:tcBorders/>
            <w:vAlign w:val="center"/>
          </w:tcPr>
          <w:p>
            <w:pPr>
              <w:pStyle w:val="TableContents"/>
              <w:bidi w:val="0"/>
              <w:spacing w:before="0" w:after="283"/>
              <w:ind w:left="0" w:right="0" w:hanging="200"/>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9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fair value measurements are those derived from inputs for the asset or liability that are not based on observable market data (unobservable inputs)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recurring fair value measurements under the relevant fair value hierarchy have been disclosed in the Notes 6, 18 and 32.(iv) to the consolidated financial statements.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Fair value of financial instruments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not measured at fair value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that use inputs of different hierarchy levels are categorized in its entirety in the same level of the fair value hierarchy as the lowest level input that is significant to the entire measurement.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considers that the carrying amounts of the Company’s financial assets and financial liabilities approximate their respective fair values due to the relatively short-term maturity of these financial instruments.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Group’s borrowings are determined based on the discounted cash flows method using discount rate that reflects the issuer’s borrowing rate as at the end of the reporting period. The Group’s non-performance risk as at June 30, 2023, 2024 and 2025 was assessed to be insignificant.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other classes of financial assets and liabilities are disclosed in the respective notes to consolidated financial statements.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Transfers between levels of fair value hierarchy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there were no assets or liabilities transferred between Level 1 and Level 2 or transfers into or out of Level 3. The Company’s policy is to recognize transfers (if any) between levels of fair value hierarchy at the end of the reporting period during which they occur.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Valuation policies and procedures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oversees the Company’s financial reporting and valuation processes and is responsible for setting and documenting the Company’s valuation policies and procedures.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ULTRATREX INC. AND ITS SUBSIDIARIES</w:t>
        <w:b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26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33</w:t>
            </w:r>
          </w:p>
        </w:tc>
        <w:tc>
          <w:tcPr>
            <w:tcW w:w="3050" w:type="dxa"/>
            <w:tcBorders/>
            <w:vAlign w:val="center"/>
          </w:tcPr>
          <w:p>
            <w:pPr>
              <w:pStyle w:val="TableContents"/>
              <w:bidi w:val="0"/>
              <w:spacing w:before="0" w:after="283"/>
              <w:jc w:val="both"/>
              <w:rPr>
                <w:b/>
              </w:rPr>
            </w:pPr>
            <w:r>
              <w:rPr>
                <w:b/>
              </w:rPr>
              <w:t>SEGMENTS OPERATIONS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the Group’s chief operating decision-maker (“CODM”). An operation segment is a component of an entity that engages in business activities from which it may earn revenues and incur expenses (including revenues and expenses relating to transactions with other components of the same entity whose operating results are reported to the Group’s CODM for the purpose of resource allocation and performance assessment. Segment results, assets and liabilities include items directly attributable to a segment as well as those that can be allocated on a reasonable basis. The Group operates in a single business segment which is the business of involves in manufacturing, trading and leasing of amphibious excavators, dredgers machineries and amphibious harvesters, leasing of all kinds of hydraulic cranes, related heavy machineries and spares parts.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 16 to the financial statements for the disclosure of operating segment by geographical.</w:t>
      </w:r>
    </w:p>
    <w:p>
      <w:pPr>
        <w:pStyle w:val="TextBody"/>
        <w:bidi w:val="0"/>
        <w:spacing w:before="0" w:after="0"/>
        <w:ind w:left="480" w:right="0" w:hanging="48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26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34</w:t>
            </w:r>
          </w:p>
        </w:tc>
        <w:tc>
          <w:tcPr>
            <w:tcW w:w="4850" w:type="dxa"/>
            <w:tcBorders/>
            <w:vAlign w:val="center"/>
          </w:tcPr>
          <w:p>
            <w:pPr>
              <w:pStyle w:val="TableContents"/>
              <w:bidi w:val="0"/>
              <w:spacing w:before="0" w:after="283"/>
              <w:jc w:val="both"/>
              <w:rPr>
                <w:b/>
              </w:rPr>
            </w:pPr>
            <w:r>
              <w:rPr>
                <w:b/>
              </w:rPr>
              <w:t>FINANCIAL GUANRANTEE CONTRACTS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exposed to credit risk in relation to financial guarantees given to banks on certain subsidiaries’ borrowings. The Group’s maximum exposure are the maximum amount the Group could have to pay if the guarantee is called on. As of June 30, 2025, these subsidiaries borrowings of USD600,000 (June 30, 2024: USD15,000; June 30, 2023: USD Nil) was guaranteed by the Group. For the financial guarantee issued, the Group has assessed that these subsidiaries have sufficient financial capabilities to meet its contractual cash flows obligation in the near future hence, does not expect any material loss allowance under 12-month expected credit loss model.</w:t>
      </w:r>
    </w:p>
    <w:p>
      <w:pPr>
        <w:pStyle w:val="TextBody"/>
        <w:bidi w:val="0"/>
        <w:spacing w:before="0" w:after="0"/>
        <w:ind w:left="480" w:right="0" w:hanging="48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35</w:t>
            </w:r>
          </w:p>
        </w:tc>
        <w:tc>
          <w:tcPr>
            <w:tcW w:w="3965" w:type="dxa"/>
            <w:tcBorders/>
            <w:vAlign w:val="center"/>
          </w:tcPr>
          <w:p>
            <w:pPr>
              <w:pStyle w:val="TableContents"/>
              <w:bidi w:val="0"/>
              <w:spacing w:before="0" w:after="283"/>
              <w:jc w:val="both"/>
              <w:rPr>
                <w:b/>
              </w:rPr>
            </w:pPr>
            <w:r>
              <w:rPr>
                <w:b/>
              </w:rPr>
              <w:t>CONTRACTUAL COMMITMENTS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commitments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the reporting date, commitments in respect of capital expenditure are as follows:</w:t>
      </w:r>
    </w:p>
    <w:p>
      <w:pPr>
        <w:pStyle w:val="TextBody"/>
        <w:bidi w:val="0"/>
        <w:spacing w:before="0" w:after="0"/>
        <w:ind w:left="480" w:right="0" w:hanging="0"/>
        <w:jc w:val="both"/>
        <w:rPr>
          <w:caps w:val="false"/>
          <w:smallCaps w:val="false"/>
        </w:rPr>
      </w:pPr>
      <w:r>
        <w:rPr>
          <w:caps w:val="false"/>
          <w:smallCaps w:val="false"/>
        </w:rPr>
        <w:t> </w:t>
      </w:r>
    </w:p>
    <w:tbl>
      <w:tblPr>
        <w:tblW w:w="8327" w:type="dxa"/>
        <w:jc w:val="left"/>
        <w:tblInd w:w="0" w:type="dxa"/>
        <w:tblLayout w:type="fixed"/>
        <w:tblCellMar>
          <w:top w:w="0" w:type="dxa"/>
          <w:left w:w="0" w:type="dxa"/>
          <w:bottom w:w="0" w:type="dxa"/>
          <w:right w:w="0" w:type="dxa"/>
        </w:tblCellMar>
      </w:tblPr>
      <w:tblGrid>
        <w:gridCol w:w="5105"/>
        <w:gridCol w:w="60"/>
        <w:gridCol w:w="175"/>
        <w:gridCol w:w="774"/>
        <w:gridCol w:w="60"/>
        <w:gridCol w:w="60"/>
        <w:gridCol w:w="128"/>
        <w:gridCol w:w="821"/>
        <w:gridCol w:w="60"/>
        <w:gridCol w:w="60"/>
        <w:gridCol w:w="175"/>
        <w:gridCol w:w="774"/>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USD’000</w:t>
            </w:r>
          </w:p>
        </w:tc>
        <w:tc>
          <w:tcPr>
            <w:tcW w:w="7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b/>
                <w:i/>
              </w:rPr>
            </w:pPr>
            <w:r>
              <w:rPr>
                <w:b/>
                <w:i/>
              </w:rPr>
              <w:t>Capital expenditure contracted but not provided for:</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double" w:sz="10" w:space="0" w:color="000000"/>
            </w:tcBorders>
            <w:shd w:fill="CCEEFF" w:val="clear"/>
            <w:tcMar>
              <w:bottom w:w="28" w:type="dxa"/>
            </w:tcM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26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36</w:t>
            </w:r>
          </w:p>
        </w:tc>
        <w:tc>
          <w:tcPr>
            <w:tcW w:w="9575" w:type="dxa"/>
            <w:tcBorders/>
            <w:vAlign w:val="center"/>
          </w:tcPr>
          <w:p>
            <w:pPr>
              <w:pStyle w:val="TableContents"/>
              <w:bidi w:val="0"/>
              <w:spacing w:before="0" w:after="283"/>
              <w:jc w:val="both"/>
              <w:rPr>
                <w:b/>
              </w:rPr>
            </w:pPr>
            <w:r>
              <w:rPr>
                <w:b/>
              </w:rPr>
              <w:t>SIGNIFICANT EVENTS DURING AND SUBSEQUENT TO THE REPORTING PERIOD</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assessed all events occurred from June 30, 2025, up through November 14, 2025, which is the date that these consolidated financial statements are available to be issued, unless as disclosed elsewhere and below, there are no material subsequent events that would require disclosure in these consolidated financial statements.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60"/>
        <w:gridCol w:w="9705"/>
      </w:tblGrid>
      <w:tr>
        <w:trPr/>
        <w:tc>
          <w:tcPr>
            <w:tcW w:w="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9705" w:type="dxa"/>
            <w:tcBorders/>
            <w:shd w:fill="CCEEFF" w:val="clear"/>
            <w:vAlign w:val="center"/>
          </w:tcPr>
          <w:p>
            <w:pPr>
              <w:pStyle w:val="TableContents"/>
              <w:bidi w:val="0"/>
              <w:spacing w:before="0" w:after="283"/>
              <w:jc w:val="both"/>
              <w:rPr/>
            </w:pPr>
            <w:hyperlink w:anchor="ea026548501ex12-1_ultra.htm">
              <w:r>
                <w:rPr>
                  <w:rStyle w:val="InternetLink"/>
                  <w:rFonts w:ascii="Times New Roman;Times;Serif" w:hAnsi="Times New Roman;Times;Serif"/>
                  <w:sz w:val="20"/>
                </w:rPr>
                <w:t>Certification of the Chief Executive Officer (Principal Executive Officer), pursuant to Rule 13a-14(a) of the Securities Exchange Act, as amended</w:t>
              </w:r>
            </w:hyperlink>
          </w:p>
        </w:tc>
      </w:tr>
      <w:tr>
        <w:trPr/>
        <w:tc>
          <w:tcPr>
            <w:tcW w:w="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60" w:type="dxa"/>
            <w:tcBorders/>
            <w:shd w:fill="FFFFFF" w:val="clear"/>
            <w:vAlign w:val="center"/>
          </w:tcPr>
          <w:p>
            <w:pPr>
              <w:pStyle w:val="TableContents"/>
              <w:bidi w:val="0"/>
              <w:spacing w:before="0" w:after="283"/>
              <w:jc w:val="left"/>
              <w:rPr/>
            </w:pPr>
            <w:r>
              <w:rPr/>
              <w:t> </w:t>
            </w:r>
          </w:p>
        </w:tc>
        <w:tc>
          <w:tcPr>
            <w:tcW w:w="9705" w:type="dxa"/>
            <w:tcBorders/>
            <w:shd w:fill="FFFFFF" w:val="clear"/>
            <w:vAlign w:val="center"/>
          </w:tcPr>
          <w:p>
            <w:pPr>
              <w:pStyle w:val="TableContents"/>
              <w:bidi w:val="0"/>
              <w:spacing w:before="0" w:after="283"/>
              <w:jc w:val="both"/>
              <w:rPr/>
            </w:pPr>
            <w:hyperlink w:anchor="ea026548501ex12-2_ultra.htm">
              <w:r>
                <w:rPr>
                  <w:rStyle w:val="InternetLink"/>
                  <w:rFonts w:ascii="Times New Roman;Times;Serif" w:hAnsi="Times New Roman;Times;Serif"/>
                  <w:sz w:val="20"/>
                </w:rPr>
                <w:t>Certification of the Chief Financial Officer (Principal Financial Officer), pursuant to Rule 13a-14(a) of the Securities Exchange Act, as amended</w:t>
              </w:r>
            </w:hyperlink>
          </w:p>
        </w:tc>
      </w:tr>
      <w:tr>
        <w:trPr/>
        <w:tc>
          <w:tcPr>
            <w:tcW w:w="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9705" w:type="dxa"/>
            <w:tcBorders/>
            <w:shd w:fill="CCEEFF" w:val="clear"/>
            <w:vAlign w:val="center"/>
          </w:tcPr>
          <w:p>
            <w:pPr>
              <w:pStyle w:val="TableContents"/>
              <w:bidi w:val="0"/>
              <w:spacing w:before="0" w:after="283"/>
              <w:jc w:val="both"/>
              <w:rPr/>
            </w:pPr>
            <w:hyperlink w:anchor="ea026548501ex13-1_ultra.htm">
              <w:r>
                <w:rPr>
                  <w:rStyle w:val="InternetLink"/>
                  <w:rFonts w:ascii="Times New Roman;Times;Serif" w:hAnsi="Times New Roman;Times;Serif"/>
                  <w:sz w:val="20"/>
                </w:rPr>
                <w:t>Certification of the Principal Executive Officer, pursuant to 18 U.S.C. Section 1350, as adopted pursuant to Section 906 of the Sarbanes-Oxley Act of 2002</w:t>
              </w:r>
            </w:hyperlink>
          </w:p>
        </w:tc>
      </w:tr>
      <w:tr>
        <w:trPr/>
        <w:tc>
          <w:tcPr>
            <w:tcW w:w="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13.2 </w:t>
            </w:r>
          </w:p>
        </w:tc>
        <w:tc>
          <w:tcPr>
            <w:tcW w:w="60" w:type="dxa"/>
            <w:tcBorders/>
            <w:shd w:fill="FFFFFF" w:val="clear"/>
            <w:vAlign w:val="center"/>
          </w:tcPr>
          <w:p>
            <w:pPr>
              <w:pStyle w:val="TableContents"/>
              <w:bidi w:val="0"/>
              <w:spacing w:before="0" w:after="283"/>
              <w:jc w:val="left"/>
              <w:rPr/>
            </w:pPr>
            <w:r>
              <w:rPr/>
              <w:t> </w:t>
            </w:r>
          </w:p>
        </w:tc>
        <w:tc>
          <w:tcPr>
            <w:tcW w:w="9705" w:type="dxa"/>
            <w:tcBorders/>
            <w:shd w:fill="FFFFFF" w:val="clear"/>
            <w:vAlign w:val="center"/>
          </w:tcPr>
          <w:p>
            <w:pPr>
              <w:pStyle w:val="TableContents"/>
              <w:bidi w:val="0"/>
              <w:spacing w:before="0" w:after="283"/>
              <w:jc w:val="both"/>
              <w:rPr/>
            </w:pPr>
            <w:hyperlink w:anchor="ea026548501ex13-2_ultra.htm">
              <w:r>
                <w:rPr>
                  <w:rStyle w:val="InternetLink"/>
                  <w:rFonts w:ascii="Times New Roman;Times;Serif" w:hAnsi="Times New Roman;Times;Serif"/>
                  <w:sz w:val="20"/>
                </w:rPr>
                <w:t>Certification of the Principal Financial Officer, pursuant to 18 U.S.C. Section 1350, as adopted pursuant to Section 906 of the Sarbanes-Oxley Act of 2002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560"/>
        <w:gridCol w:w="3875"/>
      </w:tblGrid>
      <w:tr>
        <w:trPr/>
        <w:tc>
          <w:tcPr>
            <w:tcW w:w="75" w:type="dxa"/>
            <w:tcBorders/>
            <w:vAlign w:val="center"/>
          </w:tcPr>
          <w:p>
            <w:pPr>
              <w:pStyle w:val="TableContents"/>
              <w:bidi w:val="0"/>
              <w:spacing w:before="0" w:after="283"/>
              <w:jc w:val="left"/>
              <w:rPr/>
            </w:pPr>
            <w:r>
              <w:rPr/>
              <w:t> </w:t>
            </w:r>
          </w:p>
        </w:tc>
        <w:tc>
          <w:tcPr>
            <w:tcW w:w="44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Ultratrex Inc</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Wong Kok Seng</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Wong Kok Seng</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 and Chief Executive Officer</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Taslim Podiono</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Taslim Podiono</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3875" w:type="dxa"/>
            <w:tcBorders/>
            <w:vAlign w:val="center"/>
          </w:tcPr>
          <w:p>
            <w:pPr>
              <w:pStyle w:val="TableContents"/>
              <w:bidi w:val="0"/>
              <w:spacing w:before="0" w:after="283"/>
              <w:jc w:val="left"/>
              <w:rPr/>
            </w:pPr>
            <w:r>
              <w:rPr/>
              <w:t>November 14</w:t>
            </w:r>
            <w:r>
              <w:rPr>
                <w:rFonts w:ascii="Times New Roman;Times;Serif" w:hAnsi="Times New Roman;Times;Serif"/>
                <w:sz w:val="20"/>
              </w:rPr>
              <w:t>,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26548501ex12-1_ultra.htm"/>
      <w:bookmarkStart w:id="9" w:name="ksea026548501ex121_ultra"/>
      <w:bookmarkEnd w:id="8"/>
      <w:bookmarkEnd w:id="9"/>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EXCHANGE ACT RULE 13A-14(A)/15D-14(A) AS ADOPTED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Wong Kok Seng, certify that:</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85"/>
        <w:gridCol w:w="6740"/>
      </w:tblGrid>
      <w:tr>
        <w:trPr/>
        <w:tc>
          <w:tcPr>
            <w:tcW w:w="185" w:type="dxa"/>
            <w:tcBorders/>
            <w:vAlign w:val="center"/>
          </w:tcPr>
          <w:p>
            <w:pPr>
              <w:pStyle w:val="TableContents"/>
              <w:bidi w:val="0"/>
              <w:spacing w:before="0" w:after="283"/>
              <w:jc w:val="left"/>
              <w:rPr>
                <w:sz w:val="20"/>
              </w:rPr>
            </w:pPr>
            <w:r>
              <w:rPr>
                <w:sz w:val="20"/>
              </w:rPr>
              <w:t>1.</w:t>
            </w:r>
          </w:p>
        </w:tc>
        <w:tc>
          <w:tcPr>
            <w:tcW w:w="6740" w:type="dxa"/>
            <w:tcBorders/>
            <w:vAlign w:val="center"/>
          </w:tcPr>
          <w:p>
            <w:pPr>
              <w:pStyle w:val="TableContents"/>
              <w:bidi w:val="0"/>
              <w:spacing w:before="0" w:after="283"/>
              <w:jc w:val="both"/>
              <w:rPr>
                <w:sz w:val="20"/>
              </w:rPr>
            </w:pPr>
            <w:r>
              <w:rPr>
                <w:sz w:val="20"/>
              </w:rPr>
              <w:t>I have reviewed this annual report on Form 20-F of Ultratrex Inc. (the “Company”);</w:t>
            </w:r>
          </w:p>
        </w:tc>
      </w:tr>
    </w:tbl>
    <w:p>
      <w:pPr>
        <w:pStyle w:val="TextBody"/>
        <w:bidi w:val="0"/>
        <w:spacing w:before="0" w:after="0"/>
        <w:ind w:left="216" w:right="0" w:hanging="2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216" w:right="0" w:hanging="2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216" w:right="0" w:hanging="2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216" w:right="0" w:hanging="2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288" w:right="0" w:hanging="28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288" w:right="0" w:hanging="28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288" w:right="0" w:hanging="28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288" w:right="0" w:hanging="28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sz w:val="20"/>
              </w:rPr>
            </w:pPr>
            <w:r>
              <w:rPr>
                <w:sz w:val="20"/>
              </w:rPr>
              <w:t>5.</w:t>
            </w:r>
          </w:p>
        </w:tc>
        <w:tc>
          <w:tcPr>
            <w:tcW w:w="10042"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w:t>
            </w:r>
          </w:p>
        </w:tc>
      </w:tr>
    </w:tbl>
    <w:p>
      <w:pPr>
        <w:pStyle w:val="TextBody"/>
        <w:bidi w:val="0"/>
        <w:spacing w:before="0" w:after="0"/>
        <w:ind w:left="216" w:right="0" w:hanging="2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288" w:right="0" w:hanging="28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120"/>
        <w:gridCol w:w="3875"/>
      </w:tblGrid>
      <w:tr>
        <w:trPr/>
        <w:tc>
          <w:tcPr>
            <w:tcW w:w="2120" w:type="dxa"/>
            <w:tcBorders/>
            <w:vAlign w:val="center"/>
          </w:tcPr>
          <w:p>
            <w:pPr>
              <w:pStyle w:val="TableContents"/>
              <w:bidi w:val="0"/>
              <w:spacing w:before="0" w:after="283"/>
              <w:jc w:val="left"/>
              <w:rPr>
                <w:sz w:val="20"/>
              </w:rPr>
            </w:pPr>
            <w:r>
              <w:rPr>
                <w:sz w:val="20"/>
              </w:rPr>
              <w:t>Date: November 14, 2025</w:t>
            </w:r>
          </w:p>
        </w:tc>
        <w:tc>
          <w:tcPr>
            <w:tcW w:w="3875" w:type="dxa"/>
            <w:tcBorders>
              <w:bottom w:val="single" w:sz="12" w:space="0" w:color="000000"/>
            </w:tcBorders>
            <w:tcMar>
              <w:bottom w:w="28" w:type="dxa"/>
            </w:tcMar>
            <w:vAlign w:val="center"/>
          </w:tcPr>
          <w:p>
            <w:pPr>
              <w:pStyle w:val="TableContents"/>
              <w:bidi w:val="0"/>
              <w:spacing w:before="0" w:after="283"/>
              <w:jc w:val="left"/>
              <w:rPr/>
            </w:pPr>
            <w:r>
              <w:rPr/>
              <w:t>/s/ Wong Kok Seng</w:t>
            </w:r>
          </w:p>
        </w:tc>
      </w:tr>
      <w:tr>
        <w:trPr/>
        <w:tc>
          <w:tcPr>
            <w:tcW w:w="21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sz w:val="20"/>
              </w:rPr>
            </w:pPr>
            <w:r>
              <w:rPr>
                <w:sz w:val="20"/>
              </w:rPr>
              <w:t>Wong Kok Seng</w:t>
            </w:r>
          </w:p>
        </w:tc>
      </w:tr>
      <w:tr>
        <w:trPr/>
        <w:tc>
          <w:tcPr>
            <w:tcW w:w="21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sz w:val="20"/>
              </w:rPr>
            </w:pPr>
            <w:r>
              <w:rPr>
                <w:sz w:val="20"/>
              </w:rPr>
              <w:t>Chief Executive Officer and Executive Director</w:t>
            </w:r>
          </w:p>
        </w:tc>
      </w:tr>
      <w:tr>
        <w:trPr/>
        <w:tc>
          <w:tcPr>
            <w:tcW w:w="21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sz w:val="20"/>
              </w:rPr>
            </w:pPr>
            <w:r>
              <w:rPr>
                <w:sz w:val="20"/>
              </w:rPr>
              <w:t xml:space="preserve">(Principal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0" w:name="ea026548501ex12-2_ultra.htm"/>
      <w:bookmarkStart w:id="11" w:name="ksea026548501ex122_ultra"/>
      <w:bookmarkEnd w:id="10"/>
      <w:bookmarkEnd w:id="11"/>
      <w:r>
        <w:rPr>
          <w:b/>
        </w:rPr>
        <w:t>Exhibit 12.2</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EXCHANGE ACT RULE 13A-14(A)/15D-14(A) AS ADOPTED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Taslim Podiono, certify that:</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15"/>
        <w:gridCol w:w="7955"/>
      </w:tblGrid>
      <w:tr>
        <w:trPr/>
        <w:tc>
          <w:tcPr>
            <w:tcW w:w="215" w:type="dxa"/>
            <w:tcBorders/>
            <w:vAlign w:val="center"/>
          </w:tcPr>
          <w:p>
            <w:pPr>
              <w:pStyle w:val="TableContents"/>
              <w:bidi w:val="0"/>
              <w:spacing w:before="0" w:after="283"/>
              <w:jc w:val="left"/>
              <w:rPr/>
            </w:pPr>
            <w:r>
              <w:rPr/>
              <w:t>1.</w:t>
            </w:r>
          </w:p>
        </w:tc>
        <w:tc>
          <w:tcPr>
            <w:tcW w:w="7955" w:type="dxa"/>
            <w:tcBorders/>
            <w:vAlign w:val="center"/>
          </w:tcPr>
          <w:p>
            <w:pPr>
              <w:pStyle w:val="TableContents"/>
              <w:bidi w:val="0"/>
              <w:spacing w:before="0" w:after="283"/>
              <w:jc w:val="both"/>
              <w:rPr/>
            </w:pPr>
            <w:r>
              <w:rPr/>
              <w:t>I have reviewed this annual report on Form 20-F of Ultratrex Inc.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510"/>
        <w:gridCol w:w="2690"/>
      </w:tblGrid>
      <w:tr>
        <w:trPr/>
        <w:tc>
          <w:tcPr>
            <w:tcW w:w="2510" w:type="dxa"/>
            <w:tcBorders/>
            <w:vAlign w:val="center"/>
          </w:tcPr>
          <w:p>
            <w:pPr>
              <w:pStyle w:val="TableContents"/>
              <w:bidi w:val="0"/>
              <w:spacing w:before="0" w:after="283"/>
              <w:jc w:val="left"/>
              <w:rPr/>
            </w:pPr>
            <w:r>
              <w:rPr/>
              <w:t>Date: November 14, 2025</w:t>
            </w:r>
          </w:p>
        </w:tc>
        <w:tc>
          <w:tcPr>
            <w:tcW w:w="2690" w:type="dxa"/>
            <w:tcBorders>
              <w:bottom w:val="single" w:sz="12" w:space="0" w:color="000000"/>
            </w:tcBorders>
            <w:tcMar>
              <w:bottom w:w="28" w:type="dxa"/>
            </w:tcMar>
            <w:vAlign w:val="center"/>
          </w:tcPr>
          <w:p>
            <w:pPr>
              <w:pStyle w:val="TableContents"/>
              <w:bidi w:val="0"/>
              <w:spacing w:before="0" w:after="283"/>
              <w:jc w:val="left"/>
              <w:rPr/>
            </w:pPr>
            <w:r>
              <w:rPr/>
              <w:t>/s/ Taslim Podiono</w:t>
            </w:r>
          </w:p>
        </w:tc>
      </w:tr>
      <w:tr>
        <w:trPr/>
        <w:tc>
          <w:tcPr>
            <w:tcW w:w="251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Taslim Podiono</w:t>
            </w:r>
          </w:p>
        </w:tc>
      </w:tr>
      <w:tr>
        <w:trPr/>
        <w:tc>
          <w:tcPr>
            <w:tcW w:w="251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Chief Financial Officer</w:t>
            </w:r>
          </w:p>
        </w:tc>
      </w:tr>
      <w:tr>
        <w:trPr/>
        <w:tc>
          <w:tcPr>
            <w:tcW w:w="251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2" w:name="ea026548501ex13-1_ultra.htm"/>
      <w:bookmarkStart w:id="13" w:name="ksea026548501ex131_ultra"/>
      <w:bookmarkEnd w:id="12"/>
      <w:bookmarkEnd w:id="13"/>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Ultratrex Inc. (the “Company”) on Form 20-F for the year ended June 30, 2025, as filed with the Securities and Exchange Commission on the date hereof (the “Report”), the undersigned certify pursuant to 18 U.S.C. 1350, as adopted pursuant to Section 906 of the Sarbanes-Oxley Act of 2002,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20"/>
              </w:rPr>
            </w:pPr>
            <w:r>
              <w:rPr>
                <w:sz w:val="20"/>
              </w:rPr>
              <w:t>1.</w:t>
            </w:r>
          </w:p>
        </w:tc>
        <w:tc>
          <w:tcPr>
            <w:tcW w:w="9967" w:type="dxa"/>
            <w:tcBorders/>
            <w:vAlign w:val="center"/>
          </w:tcPr>
          <w:p>
            <w:pPr>
              <w:pStyle w:val="TableContents"/>
              <w:bidi w:val="0"/>
              <w:spacing w:before="0" w:after="283"/>
              <w:jc w:val="both"/>
              <w:rPr>
                <w:sz w:val="20"/>
              </w:rPr>
            </w:pPr>
            <w:r>
              <w:rPr>
                <w:sz w:val="20"/>
              </w:rPr>
              <w:t>The Report, fully complies with the requirements of Section 13(a) or Section 15(d) of the Securities Exchange Act of 1934, as amended; and</w:t>
            </w:r>
          </w:p>
        </w:tc>
      </w:tr>
    </w:tbl>
    <w:p>
      <w:pPr>
        <w:pStyle w:val="TextBody"/>
        <w:bidi w:val="0"/>
        <w:spacing w:before="0" w:after="0"/>
        <w:ind w:left="216" w:right="0" w:hanging="2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20"/>
              </w:rPr>
            </w:pPr>
            <w:r>
              <w:rPr>
                <w:sz w:val="20"/>
              </w:rPr>
              <w:t>2.</w:t>
            </w:r>
          </w:p>
        </w:tc>
        <w:tc>
          <w:tcPr>
            <w:tcW w:w="9968"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120"/>
        <w:gridCol w:w="3875"/>
      </w:tblGrid>
      <w:tr>
        <w:trPr/>
        <w:tc>
          <w:tcPr>
            <w:tcW w:w="2120" w:type="dxa"/>
            <w:tcBorders/>
            <w:vAlign w:val="center"/>
          </w:tcPr>
          <w:p>
            <w:pPr>
              <w:pStyle w:val="TableContents"/>
              <w:bidi w:val="0"/>
              <w:spacing w:before="0" w:after="283"/>
              <w:jc w:val="left"/>
              <w:rPr>
                <w:sz w:val="20"/>
              </w:rPr>
            </w:pPr>
            <w:r>
              <w:rPr>
                <w:sz w:val="20"/>
              </w:rPr>
              <w:t>Date: November 14, 2025</w:t>
            </w:r>
          </w:p>
        </w:tc>
        <w:tc>
          <w:tcPr>
            <w:tcW w:w="3875" w:type="dxa"/>
            <w:tcBorders>
              <w:bottom w:val="single" w:sz="12" w:space="0" w:color="000000"/>
            </w:tcBorders>
            <w:tcMar>
              <w:bottom w:w="28" w:type="dxa"/>
            </w:tcMar>
            <w:vAlign w:val="center"/>
          </w:tcPr>
          <w:p>
            <w:pPr>
              <w:pStyle w:val="TableContents"/>
              <w:bidi w:val="0"/>
              <w:spacing w:before="0" w:after="283"/>
              <w:jc w:val="left"/>
              <w:rPr/>
            </w:pPr>
            <w:r>
              <w:rPr/>
              <w:t>/s/ Wong Kok Seng</w:t>
            </w:r>
          </w:p>
        </w:tc>
      </w:tr>
      <w:tr>
        <w:trPr/>
        <w:tc>
          <w:tcPr>
            <w:tcW w:w="21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sz w:val="20"/>
              </w:rPr>
            </w:pPr>
            <w:r>
              <w:rPr>
                <w:sz w:val="20"/>
              </w:rPr>
              <w:t>Wong Kok Seng</w:t>
            </w:r>
          </w:p>
        </w:tc>
      </w:tr>
      <w:tr>
        <w:trPr/>
        <w:tc>
          <w:tcPr>
            <w:tcW w:w="21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sz w:val="20"/>
              </w:rPr>
            </w:pPr>
            <w:r>
              <w:rPr>
                <w:sz w:val="20"/>
              </w:rPr>
              <w:t>Chief Executive Officer and Executive Director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4" w:name="ea026548501ex13-2_ultra.htm"/>
      <w:bookmarkStart w:id="15" w:name="ksea026548501ex132_ultra"/>
      <w:bookmarkEnd w:id="14"/>
      <w:bookmarkEnd w:id="15"/>
      <w:r>
        <w:rPr>
          <w:b/>
        </w:rPr>
        <w:t>Exhibit 13.2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 SECTION 906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Ultratrex Inc. (the “Company”) on Form 20-F for the year ended June 30, 2025, as filed with the Securities and Exchange Commission on the date hereof (the “Report”), the undersigned certifies pursuant to 18 U.S.C.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283"/>
              <w:jc w:val="both"/>
              <w:rPr/>
            </w:pPr>
            <w:r>
              <w:rPr/>
              <w:t>The Report, fully complies with the requirements of Section 13(a) or Section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510"/>
        <w:gridCol w:w="2690"/>
      </w:tblGrid>
      <w:tr>
        <w:trPr/>
        <w:tc>
          <w:tcPr>
            <w:tcW w:w="2510" w:type="dxa"/>
            <w:tcBorders/>
            <w:vAlign w:val="center"/>
          </w:tcPr>
          <w:p>
            <w:pPr>
              <w:pStyle w:val="TableContents"/>
              <w:bidi w:val="0"/>
              <w:spacing w:before="0" w:after="283"/>
              <w:jc w:val="left"/>
              <w:rPr/>
            </w:pPr>
            <w:r>
              <w:rPr/>
              <w:t>Date: November 14, 2025</w:t>
            </w:r>
          </w:p>
        </w:tc>
        <w:tc>
          <w:tcPr>
            <w:tcW w:w="2690" w:type="dxa"/>
            <w:tcBorders>
              <w:bottom w:val="single" w:sz="12" w:space="0" w:color="000000"/>
            </w:tcBorders>
            <w:tcMar>
              <w:bottom w:w="28" w:type="dxa"/>
            </w:tcMar>
            <w:vAlign w:val="center"/>
          </w:tcPr>
          <w:p>
            <w:pPr>
              <w:pStyle w:val="TableContents"/>
              <w:bidi w:val="0"/>
              <w:spacing w:before="0" w:after="283"/>
              <w:jc w:val="left"/>
              <w:rPr/>
            </w:pPr>
            <w:r>
              <w:rPr/>
              <w:t>/s/ Taslim Podiono</w:t>
            </w:r>
          </w:p>
        </w:tc>
      </w:tr>
      <w:tr>
        <w:trPr/>
        <w:tc>
          <w:tcPr>
            <w:tcW w:w="251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Taslim Podiono</w:t>
            </w:r>
          </w:p>
        </w:tc>
      </w:tr>
      <w:tr>
        <w:trPr/>
        <w:tc>
          <w:tcPr>
            <w:tcW w:w="251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Chief Financial Officer</w:t>
            </w:r>
          </w:p>
        </w:tc>
      </w:tr>
      <w:tr>
        <w:trPr/>
        <w:tc>
          <w:tcPr>
            <w:tcW w:w="251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28058</Words>
  <Characters>150217</Characters>
  <CharactersWithSpaces>185269</CharactersWithSpaces>
  <Paragraphs>16777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