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Times New Roman" w:cs="Times New Roman" w:eastAsia="Times New Roman" w:hAnsi="Times New Roman"/>
          <w:sz w:val="18"/>
          <w:szCs w:val="18"/>
          <w:b w:val="1"/>
          <w:bCs w:val="1"/>
          <w:color w:val="auto"/>
        </w:rPr>
        <w:t>Ultratrex Inc.</w:t>
      </w:r>
    </w:p>
    <w:p>
      <w:pPr>
        <w:spacing w:after="0" w:line="3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220 Orchard Road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Unit 05-02, Midpoint Orchard</w:t>
      </w:r>
    </w:p>
    <w:p>
      <w:pPr>
        <w:spacing w:after="0" w:line="9"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8"/>
          <w:szCs w:val="18"/>
          <w:color w:val="auto"/>
        </w:rPr>
        <w:t>Singapore 238852</w:t>
      </w:r>
    </w:p>
    <w:p>
      <w:pPr>
        <w:spacing w:after="0" w:line="9" w:lineRule="exact"/>
        <w:rPr>
          <w:sz w:val="24"/>
          <w:szCs w:val="24"/>
          <w:color w:val="auto"/>
        </w:rPr>
      </w:pPr>
    </w:p>
    <w:p>
      <w:pPr>
        <w:jc w:val="right"/>
        <w:spacing w:after="0"/>
        <w:rPr>
          <w:sz w:val="20"/>
          <w:szCs w:val="20"/>
          <w:color w:val="auto"/>
        </w:rPr>
      </w:pPr>
      <w:r>
        <w:rPr>
          <w:rFonts w:ascii="Times New Roman" w:cs="Times New Roman" w:eastAsia="Times New Roman" w:hAnsi="Times New Roman"/>
          <w:sz w:val="18"/>
          <w:szCs w:val="18"/>
          <w:color w:val="auto"/>
        </w:rPr>
        <w:t>September 26, 2025</w:t>
      </w: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u w:val="single" w:color="auto"/>
          <w:color w:val="auto"/>
        </w:rPr>
        <w:t>VIA EDGAR</w:t>
      </w:r>
    </w:p>
    <w:p>
      <w:pPr>
        <w:spacing w:after="0" w:line="22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Division of Corporation Finance</w:t>
      </w:r>
    </w:p>
    <w:p>
      <w:pPr>
        <w:spacing w:after="0" w:line="2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Office of Technology</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U.S. Securities and Exchange Commission</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100 F Street, NE</w:t>
      </w:r>
    </w:p>
    <w:p>
      <w:pPr>
        <w:spacing w:after="0" w:line="9"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Washington, D.C., 20549</w:t>
      </w:r>
    </w:p>
    <w:p>
      <w:pPr>
        <w:sectPr>
          <w:pgSz w:w="11900" w:h="16838" w:orient="portrait"/>
          <w:cols w:equalWidth="0" w:num="1">
            <w:col w:w="11240"/>
          </w:cols>
          <w:pgMar w:left="320" w:top="441" w:right="339" w:bottom="1440" w:gutter="0" w:footer="0" w:header="0"/>
        </w:sectPr>
      </w:pPr>
    </w:p>
    <w:p>
      <w:pPr>
        <w:spacing w:after="0" w:line="20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Ultratrex Inc.</w:t>
      </w:r>
    </w:p>
    <w:p>
      <w:pPr>
        <w:spacing w:after="0" w:line="31"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Registration Statement on Form F-1, as amended (File No. 333-290101)</w:t>
      </w:r>
    </w:p>
    <w:p>
      <w:pPr>
        <w:spacing w:after="0" w:line="2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Request for Acceleration of Effectiveness</w:t>
      </w:r>
    </w:p>
    <w:p>
      <w:pPr>
        <w:spacing w:after="0" w:line="200" w:lineRule="exact"/>
        <w:rPr>
          <w:sz w:val="24"/>
          <w:szCs w:val="24"/>
          <w:color w:val="auto"/>
        </w:rPr>
      </w:pPr>
    </w:p>
    <w:p>
      <w:pPr>
        <w:sectPr>
          <w:pgSz w:w="11900" w:h="16838" w:orient="portrait"/>
          <w:cols w:equalWidth="0" w:num="2">
            <w:col w:w="280" w:space="380"/>
            <w:col w:w="10580"/>
          </w:cols>
          <w:pgMar w:left="320" w:top="441" w:right="339" w:bottom="1440" w:gutter="0" w:footer="0" w:header="0"/>
          <w:type w:val="continuous"/>
        </w:sectPr>
      </w:pPr>
    </w:p>
    <w:p>
      <w:pPr>
        <w:spacing w:after="0" w:line="7"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Ladies and Gentlemen:</w:t>
      </w:r>
    </w:p>
    <w:p>
      <w:pPr>
        <w:spacing w:after="0" w:line="225"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In accordance with Rule 461 of the General Rules and Regulations under the Securities Act of 1933, as amended, Ultratrex Inc. hereby requests an acceleration of the effectiveness of the above-referenced Registration Statement on Form F-1, as amended, so that such Registration Statement will become effective at 4:00 p.m., Eastern Time, on September 30, 2025, or as soon thereafter as practicable.</w:t>
      </w:r>
    </w:p>
    <w:p>
      <w:pPr>
        <w:spacing w:after="0" w:line="176" w:lineRule="exact"/>
        <w:rPr>
          <w:sz w:val="24"/>
          <w:szCs w:val="24"/>
          <w:color w:val="auto"/>
        </w:rPr>
      </w:pPr>
    </w:p>
    <w:p>
      <w:pPr>
        <w:jc w:val="both"/>
        <w:spacing w:after="0" w:line="266" w:lineRule="auto"/>
        <w:rPr>
          <w:sz w:val="20"/>
          <w:szCs w:val="20"/>
          <w:color w:val="auto"/>
        </w:rPr>
      </w:pPr>
      <w:r>
        <w:rPr>
          <w:rFonts w:ascii="Times New Roman" w:cs="Times New Roman" w:eastAsia="Times New Roman" w:hAnsi="Times New Roman"/>
          <w:sz w:val="18"/>
          <w:szCs w:val="18"/>
          <w:color w:val="auto"/>
        </w:rPr>
        <w:t>The Company understands that the Commission will consider this request for acceleration of the effective date of the Registration Statement as a confirmation of the fact that the Company is aware of its responsibilities under the Securities Act as they relate to the proposed public offering of the securities specified in the Registration Statement.</w:t>
      </w:r>
    </w:p>
    <w:p>
      <w:pPr>
        <w:spacing w:after="0" w:line="176"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Very Truly yours,</w:t>
      </w:r>
    </w:p>
    <w:p>
      <w:pPr>
        <w:spacing w:after="0" w:line="225"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Ultratrex Inc.</w:t>
      </w:r>
    </w:p>
    <w:p>
      <w:pPr>
        <w:spacing w:after="0" w:line="223"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i w:val="1"/>
          <w:iCs w:val="1"/>
          <w:color w:val="auto"/>
        </w:rPr>
        <w:t>/s/ Wong Kok Seng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4642485</wp:posOffset>
            </wp:positionH>
            <wp:positionV relativeFrom="paragraph">
              <wp:posOffset>18415</wp:posOffset>
            </wp:positionV>
            <wp:extent cx="249428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2494280" cy="17145"/>
                    </a:xfrm>
                    <a:prstGeom prst="rect">
                      <a:avLst/>
                    </a:prstGeom>
                    <a:noFill/>
                  </pic:spPr>
                </pic:pic>
              </a:graphicData>
            </a:graphic>
          </wp:anchor>
        </w:drawing>
      </w:r>
    </w:p>
    <w:p>
      <w:pPr>
        <w:spacing w:after="0" w:line="9" w:lineRule="exact"/>
        <w:rPr>
          <w:sz w:val="24"/>
          <w:szCs w:val="24"/>
          <w:color w:val="auto"/>
        </w:rPr>
      </w:pPr>
    </w:p>
    <w:p>
      <w:pPr>
        <w:ind w:left="6760"/>
        <w:spacing w:after="0"/>
        <w:rPr>
          <w:sz w:val="20"/>
          <w:szCs w:val="20"/>
          <w:color w:val="auto"/>
        </w:rPr>
      </w:pPr>
      <w:r>
        <w:rPr>
          <w:rFonts w:ascii="Times New Roman" w:cs="Times New Roman" w:eastAsia="Times New Roman" w:hAnsi="Times New Roman"/>
          <w:sz w:val="18"/>
          <w:szCs w:val="18"/>
          <w:color w:val="auto"/>
        </w:rPr>
        <w:t>Name: Wong Kok Seng</w:t>
      </w:r>
    </w:p>
    <w:p>
      <w:pPr>
        <w:spacing w:after="0" w:line="36" w:lineRule="exact"/>
        <w:rPr>
          <w:sz w:val="24"/>
          <w:szCs w:val="24"/>
          <w:color w:val="auto"/>
        </w:rPr>
      </w:pPr>
    </w:p>
    <w:p>
      <w:pPr>
        <w:ind w:left="6760"/>
        <w:spacing w:after="0"/>
        <w:tabs>
          <w:tab w:leader="none" w:pos="7300" w:val="left"/>
        </w:tabs>
        <w:rPr>
          <w:sz w:val="20"/>
          <w:szCs w:val="20"/>
          <w:color w:val="auto"/>
        </w:rPr>
      </w:pPr>
      <w:r>
        <w:rPr>
          <w:rFonts w:ascii="Times New Roman" w:cs="Times New Roman" w:eastAsia="Times New Roman" w:hAnsi="Times New Roman"/>
          <w:sz w:val="18"/>
          <w:szCs w:val="18"/>
          <w:color w:val="auto"/>
        </w:rPr>
        <w:t>Title:</w:t>
      </w:r>
      <w:r>
        <w:rPr>
          <w:sz w:val="20"/>
          <w:szCs w:val="20"/>
          <w:color w:val="auto"/>
        </w:rPr>
        <w:tab/>
      </w:r>
      <w:r>
        <w:rPr>
          <w:rFonts w:ascii="Times New Roman" w:cs="Times New Roman" w:eastAsia="Times New Roman" w:hAnsi="Times New Roman"/>
          <w:sz w:val="17"/>
          <w:szCs w:val="17"/>
          <w:color w:val="auto"/>
        </w:rPr>
        <w:t>Executive Director and Chief Executive Officer</w:t>
      </w:r>
    </w:p>
    <w:p>
      <w:pPr>
        <w:spacing w:after="0" w:line="9" w:lineRule="exact"/>
        <w:rPr>
          <w:sz w:val="24"/>
          <w:szCs w:val="24"/>
          <w:color w:val="auto"/>
        </w:rPr>
      </w:pPr>
    </w:p>
    <w:p>
      <w:pPr>
        <w:ind w:left="7320"/>
        <w:spacing w:after="0"/>
        <w:rPr>
          <w:sz w:val="20"/>
          <w:szCs w:val="20"/>
          <w:color w:val="auto"/>
        </w:rPr>
      </w:pPr>
      <w:r>
        <w:rPr>
          <w:rFonts w:ascii="Times New Roman" w:cs="Times New Roman" w:eastAsia="Times New Roman" w:hAnsi="Times New Roman"/>
          <w:sz w:val="18"/>
          <w:szCs w:val="18"/>
          <w:color w:val="auto"/>
        </w:rPr>
        <w:t>(Principal Executive Officer)</w:t>
      </w:r>
    </w:p>
    <w:p>
      <w:pPr>
        <w:spacing w:after="0" w:line="207" w:lineRule="exact"/>
        <w:rPr>
          <w:sz w:val="24"/>
          <w:szCs w:val="24"/>
          <w:color w:val="auto"/>
        </w:rPr>
      </w:pPr>
    </w:p>
    <w:p>
      <w:pPr>
        <w:ind w:left="580" w:right="9040" w:hanging="572"/>
        <w:spacing w:after="0" w:line="312" w:lineRule="auto"/>
        <w:tabs>
          <w:tab w:leader="none" w:pos="58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Yarona Yieh, Esq. Ortoli Rosenstadt LLP</w:t>
      </w:r>
    </w:p>
    <w:sectPr>
      <w:pgSz w:w="11900" w:h="16838" w:orient="portrait"/>
      <w:cols w:equalWidth="0" w:num="1">
        <w:col w:w="11240"/>
      </w:cols>
      <w:pgMar w:left="320" w:top="441" w:right="3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1:"/>
      <w:numFmt w:val="lowerLetter"/>
      <w:start w:val="29"/>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2026-03-09T00:10:21Z</dcterms:created>
  <dcterms:modified xsi:type="dcterms:W3CDTF">2026-03-09T00:10:21Z</dcterms:modified>
</cp:coreProperties>
</file>