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188" w:lineRule="exact"/>
        <w:rPr>
          <w:sz w:val="24"/>
          <w:szCs w:val="24"/>
          <w:color w:val="auto"/>
        </w:rPr>
      </w:pPr>
    </w:p>
    <w:p>
      <w:pPr>
        <w:spacing w:after="0" w:line="207" w:lineRule="exact"/>
        <w:tabs>
          <w:tab w:leader="none" w:pos="1340" w:val="left"/>
        </w:tabs>
        <w:rPr>
          <w:sz w:val="20"/>
          <w:szCs w:val="20"/>
          <w:color w:val="auto"/>
        </w:rPr>
      </w:pPr>
      <w:r>
        <w:rPr>
          <w:rFonts w:ascii="Times New Roman" w:cs="Times New Roman" w:eastAsia="Times New Roman" w:hAnsi="Times New Roman"/>
          <w:sz w:val="18"/>
          <w:szCs w:val="18"/>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N-SAR</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N-CSR</w:t>
      </w:r>
    </w:p>
    <w:p>
      <w:pPr>
        <w:spacing w:after="0" w:line="262"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b w:val="1"/>
          <w:bCs w:val="1"/>
          <w:color w:val="auto"/>
        </w:rPr>
        <w:t>June 30, 2025</w:t>
      </w:r>
    </w:p>
    <w:p>
      <w:pPr>
        <w:spacing w:after="0" w:line="229" w:lineRule="exact"/>
        <w:rPr>
          <w:sz w:val="24"/>
          <w:szCs w:val="24"/>
          <w:color w:val="auto"/>
        </w:rPr>
      </w:pPr>
    </w:p>
    <w:p>
      <w:pPr>
        <w:ind w:left="1560" w:hanging="202"/>
        <w:spacing w:after="0"/>
        <w:tabs>
          <w:tab w:leader="none" w:pos="1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1560" w:hanging="202"/>
        <w:spacing w:after="0"/>
        <w:tabs>
          <w:tab w:leader="none" w:pos="1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560" w:hanging="202"/>
        <w:spacing w:after="0"/>
        <w:tabs>
          <w:tab w:leader="none" w:pos="1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560" w:hanging="202"/>
        <w:spacing w:after="0"/>
        <w:tabs>
          <w:tab w:leader="none" w:pos="1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1560" w:hanging="202"/>
        <w:spacing w:after="0"/>
        <w:tabs>
          <w:tab w:leader="none" w:pos="1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N-SAR</w:t>
      </w:r>
    </w:p>
    <w:p>
      <w:pPr>
        <w:spacing w:after="0" w:line="205"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For the Transition Period Ended: ________________________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Nothing in this form shall be construed to imply that the Commission has verified any information contained herein.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Ultratrex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 Orchard Road, Unit 05-02, Midpoint Orchard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 238852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720" w:hanging="334"/>
        <w:spacing w:after="0"/>
        <w:tabs>
          <w:tab w:leader="none" w:pos="7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N-SAR or Form N-CSR, or portion</w:t>
      </w:r>
    </w:p>
    <w:p>
      <w:pPr>
        <w:spacing w:after="0" w:line="27" w:lineRule="exact"/>
        <w:rPr>
          <w:rFonts w:ascii="Times New Roman" w:cs="Times New Roman" w:eastAsia="Times New Roman" w:hAnsi="Times New Roman"/>
          <w:sz w:val="18"/>
          <w:szCs w:val="18"/>
          <w:color w:val="auto"/>
        </w:rPr>
      </w:pPr>
    </w:p>
    <w:p>
      <w:pPr>
        <w:jc w:val="both"/>
        <w:ind w:left="720" w:hanging="712"/>
        <w:spacing w:after="0" w:line="200" w:lineRule="auto"/>
        <w:tabs>
          <w:tab w:leader="none" w:pos="72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of transition report on Form 10-Q or subject distribution report on Form 10-D, or portion thereof will be filed on or before the fifth calendar day following the prescribed due date; and</w:t>
      </w:r>
    </w:p>
    <w:p>
      <w:pPr>
        <w:spacing w:after="0" w:line="200" w:lineRule="exact"/>
        <w:rPr>
          <w:rFonts w:ascii="MS PGothic" w:cs="MS PGothic" w:eastAsia="MS PGothic" w:hAnsi="MS PGothic"/>
          <w:sz w:val="36"/>
          <w:szCs w:val="36"/>
          <w:color w:val="auto"/>
          <w:vertAlign w:val="subscript"/>
        </w:rPr>
      </w:pPr>
    </w:p>
    <w:p>
      <w:pPr>
        <w:ind w:left="720" w:hanging="334"/>
        <w:spacing w:after="0"/>
        <w:tabs>
          <w:tab w:leader="none" w:pos="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-1079500</wp:posOffset>
            </wp:positionV>
            <wp:extent cx="8255" cy="1097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109728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N-SAR, N-CSR, or the transition report or portion thereof, could not be filed within the prescribed time period.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Registrant is unable to file its Form 20-F for the fiscal year ended June 30, 2025 by the prescribed filing date because Registrant requires additional time to review its financial statements to finalize the Form 20-F. Registrant anticipates that it will file the Form 20-F no later than the fifteenth calendar day following the prescribed filing date.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Wong Kok Seng</w:t>
            </w:r>
          </w:p>
        </w:tc>
        <w:tc>
          <w:tcPr>
            <w:tcW w:w="382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(+65)</w:t>
            </w:r>
          </w:p>
        </w:tc>
        <w:tc>
          <w:tcPr>
            <w:tcW w:w="380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6235 3388</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left="220" w:hanging="215"/>
        <w:spacing w:after="0" w:line="266" w:lineRule="auto"/>
        <w:rPr>
          <w:sz w:val="20"/>
          <w:szCs w:val="20"/>
          <w:color w:val="auto"/>
        </w:rPr>
      </w:pPr>
      <w:r>
        <w:rPr>
          <w:rFonts w:ascii="Times New Roman" w:cs="Times New Roman" w:eastAsia="Times New Roman" w:hAnsi="Times New Roman"/>
          <w:sz w:val="18"/>
          <w:szCs w:val="18"/>
          <w:color w:val="auto"/>
        </w:rPr>
        <w:t>(2)Have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35"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ind w:left="220" w:hanging="215"/>
        <w:spacing w:after="0" w:line="282" w:lineRule="auto"/>
        <w:rPr>
          <w:sz w:val="20"/>
          <w:szCs w:val="20"/>
          <w:color w:val="auto"/>
        </w:rPr>
      </w:pPr>
      <w:r>
        <w:rPr>
          <w:rFonts w:ascii="Times New Roman" w:cs="Times New Roman" w:eastAsia="Times New Roman" w:hAnsi="Times New Roman"/>
          <w:sz w:val="18"/>
          <w:szCs w:val="18"/>
          <w:color w:val="auto"/>
        </w:rPr>
        <w:t>(3)Is it anticipated that any significant change in results of operations from the corresponding period for the last fiscal year will be reflected by the earnings statements to be included in the subject report or portion thereof?</w:t>
      </w:r>
    </w:p>
    <w:p>
      <w:pPr>
        <w:spacing w:after="0" w:line="121"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2860" w:type="dxa"/>
            <w:vAlign w:val="bottom"/>
          </w:tcPr>
          <w:p>
            <w:pPr>
              <w:spacing w:after="0"/>
              <w:rPr>
                <w:sz w:val="19"/>
                <w:szCs w:val="19"/>
                <w:color w:val="auto"/>
              </w:rPr>
            </w:pPr>
          </w:p>
        </w:tc>
        <w:tc>
          <w:tcPr>
            <w:tcW w:w="8380" w:type="dxa"/>
            <w:vAlign w:val="bottom"/>
            <w:gridSpan w:val="2"/>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w w:val="98"/>
              </w:rPr>
              <w:t>ULTRATREX INC.</w:t>
            </w:r>
          </w:p>
        </w:tc>
      </w:tr>
      <w:tr>
        <w:trPr>
          <w:trHeight w:val="234"/>
        </w:trPr>
        <w:tc>
          <w:tcPr>
            <w:tcW w:w="2860" w:type="dxa"/>
            <w:vAlign w:val="bottom"/>
          </w:tcPr>
          <w:p>
            <w:pPr>
              <w:spacing w:after="0"/>
              <w:rPr>
                <w:sz w:val="20"/>
                <w:szCs w:val="20"/>
                <w:color w:val="auto"/>
              </w:rPr>
            </w:pPr>
          </w:p>
        </w:tc>
        <w:tc>
          <w:tcPr>
            <w:tcW w:w="8380" w:type="dxa"/>
            <w:vAlign w:val="bottom"/>
            <w:gridSpan w:val="2"/>
          </w:tcPr>
          <w:p>
            <w:pPr>
              <w:jc w:val="center"/>
              <w:ind w:right="2750"/>
              <w:spacing w:after="0"/>
              <w:rPr>
                <w:sz w:val="20"/>
                <w:szCs w:val="20"/>
                <w:color w:val="auto"/>
              </w:rPr>
            </w:pPr>
            <w:r>
              <w:rPr>
                <w:rFonts w:ascii="Times New Roman" w:cs="Times New Roman" w:eastAsia="Times New Roman" w:hAnsi="Times New Roman"/>
                <w:sz w:val="18"/>
                <w:szCs w:val="18"/>
                <w:color w:val="auto"/>
              </w:rPr>
              <w:t>(Name of Registrant as Specified in Charter)</w:t>
            </w:r>
          </w:p>
        </w:tc>
      </w:tr>
      <w:tr>
        <w:trPr>
          <w:trHeight w:val="432"/>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tc>
      </w:tr>
      <w:tr>
        <w:trPr>
          <w:trHeight w:val="43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2025</w:t>
            </w:r>
          </w:p>
        </w:tc>
        <w:tc>
          <w:tcPr>
            <w:tcW w:w="8380" w:type="dxa"/>
            <w:vAlign w:val="bottom"/>
            <w:gridSpan w:val="2"/>
          </w:tcPr>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Wong Kok Seng</w:t>
            </w:r>
          </w:p>
        </w:tc>
      </w:tr>
      <w:tr>
        <w:trPr>
          <w:trHeight w:val="198"/>
        </w:trPr>
        <w:tc>
          <w:tcPr>
            <w:tcW w:w="28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Wong Kok Seng</w:t>
            </w:r>
          </w:p>
        </w:tc>
      </w:tr>
      <w:tr>
        <w:trPr>
          <w:trHeight w:val="234"/>
        </w:trPr>
        <w:tc>
          <w:tcPr>
            <w:tcW w:w="28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 and Chief Executive Officer</w:t>
            </w:r>
          </w:p>
        </w:tc>
      </w:tr>
      <w:tr>
        <w:trPr>
          <w:trHeight w:val="655"/>
        </w:trPr>
        <w:tc>
          <w:tcPr>
            <w:tcW w:w="28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color w:val="auto"/>
                <w:w w:val="88"/>
              </w:rPr>
              <w:t>3</w:t>
            </w:r>
          </w:p>
        </w:tc>
        <w:tc>
          <w:tcPr>
            <w:tcW w:w="4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lvl w:ilvl="1">
      <w:lvlJc w:val="left"/>
      <w:lvlText w:val="(%2)"/>
      <w:numFmt w:val="lowerLetter"/>
      <w:start w:val="3"/>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2025-10-31T07:45:06Z</dcterms:created>
  <dcterms:modified xsi:type="dcterms:W3CDTF">2025-10-31T07:45:06Z</dcterms:modified>
</cp:coreProperties>
</file>