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bookmarkStart w:id="0" w:name="ea0222427-10.htm"/>
      <w:bookmarkStart w:id="1" w:name="ksea022242710"/>
      <w:bookmarkEnd w:id="0"/>
      <w:bookmarkEnd w:id="1"/>
      <w:r>
        <w:rPr>
          <w:rFonts w:ascii="Times New Roman PS Std;serif" w:hAnsi="Times New Roman PS Std;serif"/>
          <w:b/>
          <w:i w:val="false"/>
          <w:caps w:val="false"/>
          <w:smallCaps w:val="false"/>
          <w:sz w:val="20"/>
        </w:rPr>
        <w:t>As filed with the U.S. Securities and Exchange Commission on September 17, 2025</w:t>
      </w:r>
    </w:p>
    <w:p>
      <w:pPr>
        <w:pStyle w:val="TextBody"/>
        <w:keepNext w:val="true"/>
        <w:pageBreakBefore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333-290101</w:t>
      </w:r>
    </w:p>
    <w:p>
      <w:pPr>
        <w:pStyle w:val="TextBody"/>
        <w:keepNext w:val="false"/>
        <w:pageBreakBefore w:val="false"/>
        <w:widowControl/>
        <w:pBdr/>
        <w:bidi w:val="0"/>
        <w:spacing w:before="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1 to</w:t>
        <w:br/>
        <w:t>FORM F-1</w:t>
        <w:br/>
        <w:t>REGISTRATION STATEMENT</w:t>
        <w:br/>
        <w:t>UNDER</w:t>
        <w:br/>
        <w:t>THE SECURITIES ACT OF 1933</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Ultratrex Inc.</w:t>
        <w:br/>
      </w:r>
      <w:r>
        <w:rPr>
          <w:rFonts w:ascii="Times New Roman PS Std;serif" w:hAnsi="Times New Roman PS Std;serif"/>
          <w:b/>
          <w:i w:val="false"/>
          <w:caps w:val="false"/>
          <w:smallCaps w:val="false"/>
          <w:sz w:val="20"/>
        </w:rPr>
        <w:t>(Exact name of Registrant as specified in its charter)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t>(Translation of Registrants name into English)</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tbl>
      <w:tblPr>
        <w:tblW w:w="8140" w:type="dxa"/>
        <w:jc w:val="left"/>
        <w:tblInd w:w="0" w:type="dxa"/>
        <w:tblLayout w:type="fixed"/>
        <w:tblCellMar>
          <w:top w:w="0" w:type="dxa"/>
          <w:left w:w="0" w:type="dxa"/>
          <w:bottom w:w="0" w:type="dxa"/>
          <w:right w:w="0" w:type="dxa"/>
        </w:tblCellMar>
      </w:tblPr>
      <w:tblGrid>
        <w:gridCol w:w="3046"/>
        <w:gridCol w:w="146"/>
        <w:gridCol w:w="2911"/>
        <w:gridCol w:w="146"/>
        <w:gridCol w:w="1891"/>
      </w:tblGrid>
      <w:tr>
        <w:trPr/>
        <w:tc>
          <w:tcPr>
            <w:tcW w:w="304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3531</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No.)</w:t>
            </w:r>
          </w:p>
        </w:tc>
      </w:tr>
    </w:tbl>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 Orchard Road</w:t>
        <w:br/>
        <w:t>Unit 05-02, Midpoint Orchard</w:t>
        <w:br/>
        <w:t>Singapore 238852</w:t>
        <w:br/>
        <w:t>Tel: +65 6235 3388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 including zip code, and telephone number, including area code, of Registrant’s principal executive office)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Cogency Global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 East 42nd Street, 18th Floor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10168</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800-221-0102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8323" w:type="dxa"/>
        <w:jc w:val="left"/>
        <w:tblInd w:w="0" w:type="dxa"/>
        <w:tblLayout w:type="fixed"/>
        <w:tblCellMar>
          <w:top w:w="0" w:type="dxa"/>
          <w:left w:w="0" w:type="dxa"/>
          <w:bottom w:w="0" w:type="dxa"/>
          <w:right w:w="0" w:type="dxa"/>
        </w:tblCellMar>
      </w:tblPr>
      <w:tblGrid>
        <w:gridCol w:w="3526"/>
        <w:gridCol w:w="146"/>
        <w:gridCol w:w="4651"/>
      </w:tblGrid>
      <w:tr>
        <w:trPr/>
        <w:tc>
          <w:tcPr>
            <w:tcW w:w="3526" w:type="dxa"/>
            <w:tcBorders/>
            <w:vAlign w:val="cente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William S. Rosenstadt, Esq. </w:t>
              <w:br/>
              <w:t xml:space="preserve">Mengyi “Jason” Ye, Esq. </w:t>
              <w:br/>
              <w:t xml:space="preserve">Yarona Yieh, Esq. </w:t>
              <w:br/>
              <w:t xml:space="preserve">Ortoli Rosenstadt LLP </w:t>
              <w:br/>
              <w:t>366 Madison Avenue 3rd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Floor </w:t>
              <w:br/>
              <w:t xml:space="preserve">New York, NY 10017 </w:t>
              <w:br/>
              <w:t>Telephone: (212) 588 0022</w:t>
            </w:r>
          </w:p>
        </w:tc>
        <w:tc>
          <w:tcPr>
            <w:tcW w:w="146" w:type="dxa"/>
            <w:tcBorders/>
            <w:vAlign w:val="center"/>
          </w:tcPr>
          <w:p>
            <w:pPr>
              <w:pStyle w:val="TableContents"/>
              <w:bidi w:val="0"/>
              <w:spacing w:before="0" w:after="283"/>
              <w:jc w:val="left"/>
              <w:rPr/>
            </w:pPr>
            <w:r>
              <w:rPr/>
              <w:t> </w:t>
            </w:r>
          </w:p>
        </w:tc>
        <w:tc>
          <w:tcPr>
            <w:tcW w:w="465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Ross David Carmel,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Shane Wu,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Sichenzia Ross Ference Carmel LLP</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1185 Avenue of the Americas, 31st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10036</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Telephone: (212) 930-9700</w:t>
            </w:r>
          </w:p>
        </w:tc>
      </w:tr>
    </w:tbl>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40" w:after="283"/>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keepNext w:val="false"/>
        <w:pageBreakBefore w:val="false"/>
        <w:widowControl/>
        <w:pBdr/>
        <w:bidi w:val="0"/>
        <w:spacing w:before="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Amendment No. 1 to Form F-1 (Amendment No. 1) is being filed solely for the purpose of filing exhibits 5.1, 5.2, 8.1, 23.2, 23.3, 23.4 23.5, 99.12, 99.13, 99.14 and 99.15, to this registration statement on Form F-1 (File No. 333-290101), or the Registration Statement, and to amend and restate the exhibit index set forth in Part II of the Registration Statement. No changes have been made to the Registration Statement other than this explanatory note as well as revised versions of the cover page and exhibit index of the Registration Statement. This Amendment No. 1 does not contain copies of the public offering prospectus included in the Registration Statement, which remains unchanged from the Registration Statement filed on September 8, 2025. This Amendment No. 1 consists only of the cover page, this explanatory note, the signature pages to the Registration Statement, the exhibit index and the filed exhibits.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
              <w:r>
                <w:rPr>
                  <w:rStyle w:val="InternetLink"/>
                  <w:rFonts w:ascii="Times New Roman PS Std;serif" w:hAnsi="Times New Roman PS Std;serif"/>
                  <w:b w:val="false"/>
                  <w:i w:val="false"/>
                  <w:caps w:val="false"/>
                  <w:smallCaps w:val="false"/>
                  <w:sz w:val="20"/>
                </w:rPr>
                <w:t>Form of Underwriting Agreement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
              <w:r>
                <w:rPr>
                  <w:rStyle w:val="InternetLink"/>
                  <w:rFonts w:ascii="Times New Roman PS Std;serif" w:hAnsi="Times New Roman PS Std;serif"/>
                  <w:b w:val="false"/>
                  <w:i w:val="false"/>
                  <w:caps w:val="false"/>
                  <w:smallCaps w:val="false"/>
                  <w:sz w:val="20"/>
                </w:rPr>
                <w:t>Memorandum of Association and Articles of Association of the Registrant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
              <w:r>
                <w:rPr>
                  <w:rStyle w:val="InternetLink"/>
                  <w:rFonts w:ascii="Times New Roman PS Std;serif" w:hAnsi="Times New Roman PS Std;serif"/>
                  <w:b w:val="false"/>
                  <w:i w:val="false"/>
                  <w:caps w:val="false"/>
                  <w:smallCaps w:val="false"/>
                  <w:sz w:val="20"/>
                </w:rPr>
                <w:t>Form of Underwriters’ Warrant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2242710ex5-1_ultratrex.htm">
              <w:r>
                <w:rPr>
                  <w:rStyle w:val="InternetLink"/>
                  <w:rFonts w:ascii="Times New Roman PS Std;serif" w:hAnsi="Times New Roman PS Std;serif"/>
                  <w:b w:val="false"/>
                  <w:i w:val="false"/>
                  <w:caps w:val="false"/>
                  <w:smallCaps w:val="false"/>
                  <w:sz w:val="20"/>
                </w:rPr>
                <w:t>Opinion of Ogier regarding the validity of Class A Shares being registered</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2242710ex5-2_ultratrex.htm">
              <w:r>
                <w:rPr>
                  <w:rStyle w:val="InternetLink"/>
                  <w:rFonts w:ascii="Times New Roman PS Std;serif" w:hAnsi="Times New Roman PS Std;serif"/>
                  <w:b w:val="false"/>
                  <w:i w:val="false"/>
                  <w:caps w:val="false"/>
                  <w:smallCaps w:val="false"/>
                  <w:sz w:val="20"/>
                </w:rPr>
                <w:t>Opinion of Ortoli Rosenstadt regarding the validity of the underwriters’ warrants being registered</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2242710ex5-1_ultratrex.htm">
              <w:r>
                <w:rPr>
                  <w:rStyle w:val="InternetLink"/>
                  <w:rFonts w:ascii="Times New Roman PS Std;serif" w:hAnsi="Times New Roman PS Std;serif"/>
                  <w:b w:val="false"/>
                  <w:i w:val="false"/>
                  <w:caps w:val="false"/>
                  <w:smallCaps w:val="false"/>
                  <w:sz w:val="20"/>
                </w:rPr>
                <w:t>Opinion of Ogier regarding certain Cayman Islands tax matters (included in Exhibit 5.1)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
              <w:r>
                <w:rPr>
                  <w:rStyle w:val="InternetLink"/>
                  <w:rFonts w:ascii="Times New Roman PS Std;serif" w:hAnsi="Times New Roman PS Std;serif"/>
                  <w:b w:val="false"/>
                  <w:i w:val="false"/>
                  <w:caps w:val="false"/>
                  <w:smallCaps w:val="false"/>
                  <w:sz w:val="20"/>
                </w:rPr>
                <w:t>Employment Agreement between the Registrant and Mr. Wong Kok Seng</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
              <w:r>
                <w:rPr>
                  <w:rStyle w:val="InternetLink"/>
                  <w:rFonts w:ascii="Times New Roman PS Std;serif" w:hAnsi="Times New Roman PS Std;serif"/>
                  <w:b w:val="false"/>
                  <w:i w:val="false"/>
                  <w:caps w:val="false"/>
                  <w:smallCaps w:val="false"/>
                  <w:sz w:val="20"/>
                </w:rPr>
                <w:t>Employment Agreement between the Registrant and Mr. Taslim Podiono</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
              <w:r>
                <w:rPr>
                  <w:rStyle w:val="InternetLink"/>
                  <w:rFonts w:ascii="Times New Roman PS Std;serif" w:hAnsi="Times New Roman PS Std;serif"/>
                  <w:b w:val="false"/>
                  <w:i w:val="false"/>
                  <w:caps w:val="false"/>
                  <w:smallCaps w:val="false"/>
                  <w:sz w:val="20"/>
                </w:rPr>
                <w:t>Independent Director Offer Letter between the Registrant and Mr. Ken Lee Cheng Kiat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
              <w:r>
                <w:rPr>
                  <w:rStyle w:val="InternetLink"/>
                  <w:rFonts w:ascii="Times New Roman PS Std;serif" w:hAnsi="Times New Roman PS Std;serif"/>
                  <w:b w:val="false"/>
                  <w:i w:val="false"/>
                  <w:caps w:val="false"/>
                  <w:smallCaps w:val="false"/>
                  <w:sz w:val="20"/>
                </w:rPr>
                <w:t>Independent Director Offer Letter between the Registrant and Mr. Karl-Heinz Barth</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
              <w:r>
                <w:rPr>
                  <w:rStyle w:val="InternetLink"/>
                  <w:rFonts w:ascii="Times New Roman PS Std;serif" w:hAnsi="Times New Roman PS Std;serif"/>
                  <w:b w:val="false"/>
                  <w:i w:val="false"/>
                  <w:caps w:val="false"/>
                  <w:smallCaps w:val="false"/>
                  <w:sz w:val="20"/>
                </w:rPr>
                <w:t>Independent Director Offer Letter between the Registrant and Mr. Marc Hideo Iyeki</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
              <w:r>
                <w:rPr>
                  <w:rStyle w:val="InternetLink"/>
                  <w:rFonts w:ascii="Times New Roman PS Std;serif" w:hAnsi="Times New Roman PS Std;serif"/>
                  <w:b w:val="false"/>
                  <w:i w:val="false"/>
                  <w:caps w:val="false"/>
                  <w:smallCaps w:val="false"/>
                  <w:sz w:val="20"/>
                </w:rPr>
                <w:t>Director Offer Letter between the Registrant and Mr. Halim Podiono</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1">
              <w:r>
                <w:rPr>
                  <w:rStyle w:val="InternetLink"/>
                  <w:rFonts w:ascii="Times New Roman PS Std;serif" w:hAnsi="Times New Roman PS Std;serif"/>
                  <w:b w:val="false"/>
                  <w:i w:val="false"/>
                  <w:caps w:val="false"/>
                  <w:smallCaps w:val="false"/>
                  <w:sz w:val="20"/>
                </w:rPr>
                <w:t>Director Offer Letter between the Registrant and Mr. Wong Kok Seng</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2">
              <w:r>
                <w:rPr>
                  <w:rStyle w:val="InternetLink"/>
                  <w:rFonts w:ascii="Times New Roman PS Std;serif" w:hAnsi="Times New Roman PS Std;serif"/>
                  <w:b w:val="false"/>
                  <w:i w:val="false"/>
                  <w:caps w:val="false"/>
                  <w:smallCaps w:val="false"/>
                  <w:sz w:val="20"/>
                </w:rPr>
                <w:t>Director Offer Letter between the Registrant and Mr. Koh Wah Seng Philip</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3">
              <w:r>
                <w:rPr>
                  <w:rStyle w:val="InternetLink"/>
                  <w:rFonts w:ascii="Times New Roman PS Std;serif" w:hAnsi="Times New Roman PS Std;serif"/>
                  <w:b w:val="false"/>
                  <w:i w:val="false"/>
                  <w:caps w:val="false"/>
                  <w:smallCaps w:val="false"/>
                  <w:sz w:val="20"/>
                </w:rPr>
                <w:t>Director Offer Letter between the Registrant and Ms. Wong Poh Chan</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4">
              <w:r>
                <w:rPr>
                  <w:rStyle w:val="InternetLink"/>
                  <w:rFonts w:ascii="Times New Roman PS Std;serif" w:hAnsi="Times New Roman PS Std;serif"/>
                  <w:b w:val="false"/>
                  <w:i w:val="false"/>
                  <w:caps w:val="false"/>
                  <w:smallCaps w:val="false"/>
                  <w:sz w:val="20"/>
                </w:rPr>
                <w:t>Lease Agreement for PLO 229 Kawasan Perindustrian Tebrau III, 81100 Johor Bahru, Johor, Malaysia</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5">
              <w:r>
                <w:rPr>
                  <w:rStyle w:val="InternetLink"/>
                  <w:rFonts w:ascii="Times New Roman PS Std;serif" w:hAnsi="Times New Roman PS Std;serif"/>
                  <w:b w:val="false"/>
                  <w:i w:val="false"/>
                  <w:caps w:val="false"/>
                  <w:smallCaps w:val="false"/>
                  <w:sz w:val="20"/>
                </w:rPr>
                <w:t>Lease Agreement for Jalan Jombor-Pokak, RT. 01/RW.01, Jombor Sub-district, Ceper District, Klaten Regency, Central Java Province</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6">
              <w:r>
                <w:rPr>
                  <w:rStyle w:val="InternetLink"/>
                  <w:rFonts w:ascii="Times New Roman PS Std;serif" w:hAnsi="Times New Roman PS Std;serif"/>
                  <w:b w:val="false"/>
                  <w:i w:val="false"/>
                  <w:caps w:val="false"/>
                  <w:smallCaps w:val="false"/>
                  <w:sz w:val="20"/>
                </w:rPr>
                <w:t>Ultratrex Asia Pacific Pte. Ltd. Acting-in-Concert Agreement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7">
              <w:r>
                <w:rPr>
                  <w:rStyle w:val="InternetLink"/>
                  <w:rFonts w:ascii="Times New Roman PS Std;serif" w:hAnsi="Times New Roman PS Std;serif"/>
                  <w:b w:val="false"/>
                  <w:i w:val="false"/>
                  <w:caps w:val="false"/>
                  <w:smallCaps w:val="false"/>
                  <w:sz w:val="20"/>
                </w:rPr>
                <w:t>Ultratrex Inc. Acting-in-Concert Agreement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8">
              <w:r>
                <w:rPr>
                  <w:rStyle w:val="InternetLink"/>
                  <w:rFonts w:ascii="Times New Roman PS Std;serif" w:hAnsi="Times New Roman PS Std;serif"/>
                  <w:b w:val="false"/>
                  <w:i w:val="false"/>
                  <w:caps w:val="false"/>
                  <w:smallCaps w:val="false"/>
                  <w:sz w:val="20"/>
                </w:rPr>
                <w:t>Agreement between Ultratrex Machinery Sdn. Bhd. and Mr. Wong Kok Seng</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9">
              <w:r>
                <w:rPr>
                  <w:rStyle w:val="InternetLink"/>
                  <w:rFonts w:ascii="Times New Roman PS Std;serif" w:hAnsi="Times New Roman PS Std;serif"/>
                  <w:b w:val="false"/>
                  <w:i w:val="false"/>
                  <w:caps w:val="false"/>
                  <w:smallCaps w:val="false"/>
                  <w:sz w:val="20"/>
                </w:rPr>
                <w:t>Agreement between the Company and a Significant Customer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0">
              <w:r>
                <w:rPr>
                  <w:rStyle w:val="InternetLink"/>
                  <w:rFonts w:ascii="Times New Roman PS Std;serif" w:hAnsi="Times New Roman PS Std;serif"/>
                  <w:b w:val="false"/>
                  <w:i w:val="false"/>
                  <w:caps w:val="false"/>
                  <w:smallCaps w:val="false"/>
                  <w:sz w:val="20"/>
                </w:rPr>
                <w:t>Code of Ethics of the Registrant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1">
              <w:r>
                <w:rPr>
                  <w:rStyle w:val="InternetLink"/>
                  <w:rFonts w:ascii="Times New Roman PS Std;serif" w:hAnsi="Times New Roman PS Std;serif"/>
                  <w:b w:val="false"/>
                  <w:i w:val="false"/>
                  <w:caps w:val="false"/>
                  <w:smallCaps w:val="false"/>
                  <w:sz w:val="20"/>
                </w:rPr>
                <w:t>Insider Trading Policy of the Registrant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2">
              <w:r>
                <w:rPr>
                  <w:rStyle w:val="InternetLink"/>
                  <w:rFonts w:ascii="Times New Roman PS Std;serif" w:hAnsi="Times New Roman PS Std;serif"/>
                  <w:b w:val="false"/>
                  <w:i w:val="false"/>
                  <w:caps w:val="false"/>
                  <w:smallCaps w:val="false"/>
                  <w:sz w:val="20"/>
                </w:rPr>
                <w:t>Letter in lieu of Consent of WWC, P.C.</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List of Subsidiaries of the Registrant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Consent of WWC, P.C.</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2242710ex5-1_ultratrex.htm">
              <w:r>
                <w:rPr>
                  <w:rStyle w:val="InternetLink"/>
                  <w:rFonts w:ascii="Times New Roman PS Std;serif" w:hAnsi="Times New Roman PS Std;serif"/>
                  <w:b w:val="false"/>
                  <w:i w:val="false"/>
                  <w:caps w:val="false"/>
                  <w:smallCaps w:val="false"/>
                  <w:sz w:val="20"/>
                </w:rPr>
                <w:t>Consent of Ogier (included in Exhibit 5.1)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2242710ex99-12_ultratrex.htm">
              <w:r>
                <w:rPr>
                  <w:rStyle w:val="InternetLink"/>
                  <w:rFonts w:ascii="Times New Roman PS Std;serif" w:hAnsi="Times New Roman PS Std;serif"/>
                  <w:b w:val="false"/>
                  <w:i w:val="false"/>
                  <w:caps w:val="false"/>
                  <w:smallCaps w:val="false"/>
                  <w:sz w:val="20"/>
                </w:rPr>
                <w:t>Consent of Enolil Loo LLP (included in Exhibit 99.12)</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2242710ex99-13_ultratrex.htm">
              <w:r>
                <w:rPr>
                  <w:rStyle w:val="InternetLink"/>
                  <w:rFonts w:ascii="Times New Roman PS Std;serif" w:hAnsi="Times New Roman PS Std;serif"/>
                  <w:b w:val="false"/>
                  <w:i w:val="false"/>
                  <w:caps w:val="false"/>
                  <w:smallCaps w:val="false"/>
                  <w:sz w:val="20"/>
                </w:rPr>
                <w:t>Consent of ABNR (included in Exhibit 99.13)</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2242710ex99-14_ultratrex.htm">
              <w:r>
                <w:rPr>
                  <w:rStyle w:val="InternetLink"/>
                  <w:rFonts w:ascii="Times New Roman PS Std;serif" w:hAnsi="Times New Roman PS Std;serif"/>
                  <w:b w:val="false"/>
                  <w:i w:val="false"/>
                  <w:caps w:val="false"/>
                  <w:smallCaps w:val="false"/>
                  <w:sz w:val="20"/>
                </w:rPr>
                <w:t>Consent of Tonogai Law (included in Exhibit 99.14)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Consent of Grand View Research Inc.</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"http://www.sec.gov/Archives/edgar/data/2046954/000121390025085405/ea0222427-08.htm" \l "T2006"</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Form of Power of Attorney (included on signature pages)</w:t>
            </w:r>
            <w:r>
              <w:rPr>
                <w:rStyle w:val="InternetLink"/>
                <w:smallCaps w:val="false"/>
                <w:caps w:val="false"/>
                <w:sz w:val="20"/>
                <w:i w:val="false"/>
                <w:b w:val="false"/>
                <w:rFonts w:ascii="Times New Roman PS Std;serif" w:hAnsi="Times New Roman PS Std;serif"/>
              </w:rPr>
              <w:fldChar w:fldCharType="end"/>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Audit Committee Charter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Compensation Committee Charter</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Nomination Committee Charter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Consent of Mr. Ken Lee Cheng Kiat as an independent director nominee</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0">
              <w:r>
                <w:rPr>
                  <w:rStyle w:val="InternetLink"/>
                  <w:rFonts w:ascii="Times New Roman PS Std;serif" w:hAnsi="Times New Roman PS Std;serif"/>
                  <w:b w:val="false"/>
                  <w:i w:val="false"/>
                  <w:caps w:val="false"/>
                  <w:smallCaps w:val="false"/>
                  <w:sz w:val="20"/>
                </w:rPr>
                <w:t>Consent of Mr. Karl-Heinz Barth as an independent director nominee</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1">
              <w:r>
                <w:rPr>
                  <w:rStyle w:val="InternetLink"/>
                  <w:rFonts w:ascii="Times New Roman PS Std;serif" w:hAnsi="Times New Roman PS Std;serif"/>
                  <w:b w:val="false"/>
                  <w:i w:val="false"/>
                  <w:caps w:val="false"/>
                  <w:smallCaps w:val="false"/>
                  <w:sz w:val="20"/>
                </w:rPr>
                <w:t>Consent of Mr. Marc Hideo Iyeki as an independent director nominee</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Consent of Mr. Koh Wah Seng Philip as a non-executive director nominee</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Consent of Ms. Wong Poh Chan as a non-executive director nominee</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rPr>
                <w:t>Consent of Mr. Wong Kok Seng as a director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Consent of Mr. Halim Podiono as a director</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Executive Compensation Recovery Policy of the Registrant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2242710ex99-12_ultratrex.htm">
              <w:r>
                <w:rPr>
                  <w:rStyle w:val="InternetLink"/>
                  <w:rFonts w:ascii="Times New Roman PS Std;serif" w:hAnsi="Times New Roman PS Std;serif"/>
                  <w:b w:val="false"/>
                  <w:i w:val="false"/>
                  <w:caps w:val="false"/>
                  <w:smallCaps w:val="false"/>
                  <w:sz w:val="20"/>
                </w:rPr>
                <w:t>Opinion of Enolil Loo LLP regarding certain matters relating to Malaysian law</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2242710ex99-13_ultratrex.htm">
              <w:r>
                <w:rPr>
                  <w:rStyle w:val="InternetLink"/>
                  <w:rFonts w:ascii="Times New Roman PS Std;serif" w:hAnsi="Times New Roman PS Std;serif"/>
                  <w:b w:val="false"/>
                  <w:i w:val="false"/>
                  <w:caps w:val="false"/>
                  <w:smallCaps w:val="false"/>
                  <w:sz w:val="20"/>
                </w:rPr>
                <w:t>Opinion of ABNR regarding certain matters relating to Indonesian law</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2242710ex99-14_ultratrex.htm">
              <w:r>
                <w:rPr>
                  <w:rStyle w:val="InternetLink"/>
                  <w:rFonts w:ascii="Times New Roman PS Std;serif" w:hAnsi="Times New Roman PS Std;serif"/>
                  <w:b w:val="false"/>
                  <w:i w:val="false"/>
                  <w:caps w:val="false"/>
                  <w:smallCaps w:val="false"/>
                  <w:sz w:val="20"/>
                </w:rPr>
                <w:t>Opinion of Tonogai Law regarding certain matters relating to Japanese law</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2242710ex99-15_ultratrex.htm">
              <w:r>
                <w:rPr>
                  <w:rStyle w:val="InternetLink"/>
                  <w:rFonts w:ascii="Times New Roman PS Std;serif" w:hAnsi="Times New Roman PS Std;serif"/>
                  <w:b w:val="false"/>
                  <w:i w:val="false"/>
                  <w:caps w:val="false"/>
                  <w:smallCaps w:val="false"/>
                  <w:sz w:val="20"/>
                </w:rPr>
                <w:t>Request for Waiver and Representation under Item 8.A.4 of Form 20-F</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 authorized, in Singapore, on September 17, 2025.</w:t>
      </w:r>
    </w:p>
    <w:tbl>
      <w:tblPr>
        <w:tblW w:w="5540" w:type="dxa"/>
        <w:jc w:val="left"/>
        <w:tblInd w:w="0" w:type="dxa"/>
        <w:tblLayout w:type="fixed"/>
        <w:tblCellMar>
          <w:top w:w="0" w:type="dxa"/>
          <w:left w:w="0" w:type="dxa"/>
          <w:bottom w:w="0" w:type="dxa"/>
          <w:right w:w="0" w:type="dxa"/>
        </w:tblCellMar>
      </w:tblPr>
      <w:tblGrid>
        <w:gridCol w:w="161"/>
        <w:gridCol w:w="146"/>
        <w:gridCol w:w="751"/>
        <w:gridCol w:w="146"/>
        <w:gridCol w:w="43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3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Ultratrex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Wong Kok Seng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Wong Kok Seng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Executive Director and </w:t>
              <w:br/>
              <w:t xml:space="preserve">Chief Executive Officer </w:t>
              <w:br/>
              <w:t>(Principal Executive Officer)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Taslim Podiono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Taslim Podiono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Financial Officer </w:t>
              <w:br/>
              <w:t>(Principal Accounting and Financial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 ALL PERSONS BY THESE PRESENTS, that each person whose signature appears below constitutes and appoints Wong Kok Seng and Taslim Podiono, each acting singly as an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Class A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9688" w:type="dxa"/>
        <w:jc w:val="left"/>
        <w:tblInd w:w="0" w:type="dxa"/>
        <w:tblLayout w:type="fixed"/>
        <w:tblCellMar>
          <w:top w:w="0" w:type="dxa"/>
          <w:left w:w="0" w:type="dxa"/>
          <w:bottom w:w="0" w:type="dxa"/>
          <w:right w:w="0" w:type="dxa"/>
        </w:tblCellMar>
      </w:tblPr>
      <w:tblGrid>
        <w:gridCol w:w="2671"/>
        <w:gridCol w:w="146"/>
        <w:gridCol w:w="6871"/>
      </w:tblGrid>
      <w:tr>
        <w:trPr/>
        <w:tc>
          <w:tcPr>
            <w:tcW w:w="26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September 17, 2025</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Wong Kok Seng</w:t>
            </w:r>
          </w:p>
        </w:tc>
      </w:tr>
      <w:tr>
        <w:trPr/>
        <w:tc>
          <w:tcPr>
            <w:tcW w:w="26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Wong Kok Seng, Executive Director and Chief Executive Officer </w:t>
              <w:br/>
              <w:t>(principal executive officer)</w:t>
            </w:r>
          </w:p>
        </w:tc>
      </w:tr>
      <w:tr>
        <w:trPr/>
        <w:tc>
          <w:tcPr>
            <w:tcW w:w="26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September 17, 2025</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Taslim Podiono</w:t>
            </w:r>
          </w:p>
        </w:tc>
      </w:tr>
      <w:tr>
        <w:trPr/>
        <w:tc>
          <w:tcPr>
            <w:tcW w:w="26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Taslim Podiono, Chief Financial Officer (principal financial officer, </w:t>
              <w:br/>
              <w:t>its controller or principal accounting officer)</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OF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the undersigned, the duly authorized representative in the United States of America, has signed this registration statement or amendment thereto in New York, New York, United States of America on September 17, 2025.</w:t>
      </w:r>
    </w:p>
    <w:tbl>
      <w:tblPr>
        <w:tblW w:w="4730" w:type="dxa"/>
        <w:jc w:val="left"/>
        <w:tblInd w:w="0" w:type="dxa"/>
        <w:tblLayout w:type="fixed"/>
        <w:tblCellMar>
          <w:top w:w="0" w:type="dxa"/>
          <w:left w:w="0" w:type="dxa"/>
          <w:bottom w:w="0" w:type="dxa"/>
          <w:right w:w="0" w:type="dxa"/>
        </w:tblCellMar>
      </w:tblPr>
      <w:tblGrid>
        <w:gridCol w:w="161"/>
        <w:gridCol w:w="146"/>
        <w:gridCol w:w="751"/>
        <w:gridCol w:w="146"/>
        <w:gridCol w:w="35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/s/ Colleen A. De Vries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Colleen A. De Vries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Senior Vice-President on behalf of </w:t>
              <w:br/>
              <w:t>Cogency Global Inc.</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p>
    <w:p>
      <w:pPr>
        <w:pStyle w:val="TextBody"/>
        <w:bidi w:val="0"/>
        <w:spacing w:before="0" w:after="0"/>
        <w:ind w:left="0" w:right="0" w:hanging="0"/>
        <w:jc w:val="right"/>
        <w:rPr>
          <w:b/>
        </w:rPr>
      </w:pPr>
      <w:bookmarkStart w:id="2" w:name="ea022242710ex5-1_ultratrex.htm"/>
      <w:bookmarkStart w:id="3" w:name="ksea022242710ex51_ultratrex"/>
      <w:bookmarkEnd w:id="2"/>
      <w:bookmarkEnd w:id="3"/>
      <w:r>
        <w:rPr>
          <w:b/>
        </w:rPr>
        <w:t>Exhibit 5.1</w:t>
      </w:r>
      <w:r>
        <w:br w:type="page"/>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11239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8"/>
                    <a:stretch>
                      <a:fillRect/>
                    </a:stretch>
                  </pic:blipFill>
                  <pic:spPr bwMode="auto">
                    <a:xfrm>
                      <a:off x="0" y="0"/>
                      <a:ext cx="1123950" cy="457200"/>
                    </a:xfrm>
                    <a:prstGeom prst="rect">
                      <a:avLst/>
                    </a:prstGeom>
                  </pic:spPr>
                </pic:pic>
              </a:graphicData>
            </a:graphic>
          </wp:inline>
        </w:drawing>
      </w:r>
    </w:p>
    <w:p>
      <w:pPr>
        <w:pStyle w:val="TextBody"/>
        <w:bidi w:val="0"/>
        <w:spacing w:before="0" w:after="0"/>
        <w:ind w:left="0" w:right="0" w:hanging="0"/>
        <w:jc w:val="left"/>
        <w:rPr/>
      </w:pPr>
      <w:r>
        <w:rPr/>
        <w:t> </w:t>
      </w:r>
    </w:p>
    <w:tbl>
      <w:tblPr>
        <w:tblW w:w="5035" w:type="dxa"/>
        <w:jc w:val="left"/>
        <w:tblInd w:w="0" w:type="dxa"/>
        <w:tblLayout w:type="fixed"/>
        <w:tblCellMar>
          <w:top w:w="0" w:type="dxa"/>
          <w:left w:w="0" w:type="dxa"/>
          <w:bottom w:w="0" w:type="dxa"/>
          <w:right w:w="0" w:type="dxa"/>
        </w:tblCellMar>
      </w:tblPr>
      <w:tblGrid>
        <w:gridCol w:w="1430"/>
        <w:gridCol w:w="60"/>
        <w:gridCol w:w="3545"/>
      </w:tblGrid>
      <w:tr>
        <w:trPr/>
        <w:tc>
          <w:tcPr>
            <w:tcW w:w="1430" w:type="dxa"/>
            <w:vMerge w:val="restart"/>
            <w:tcBorders/>
            <w:vAlign w:val="center"/>
          </w:tcPr>
          <w:p>
            <w:pPr>
              <w:pStyle w:val="TableContents"/>
              <w:bidi w:val="0"/>
              <w:spacing w:before="0" w:after="283"/>
              <w:jc w:val="both"/>
              <w:rPr>
                <w:b/>
              </w:rPr>
            </w:pPr>
            <w:r>
              <w:rPr>
                <w:b/>
              </w:rPr>
              <w:t>Ultratrex Inc.</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rFonts w:ascii="Times New Roman;Times;Serif" w:hAnsi="Times New Roman;Times;Serif"/>
                <w:b/>
              </w:rPr>
              <w:t>D  </w:t>
            </w:r>
            <w:r>
              <w:rPr>
                <w:b/>
              </w:rPr>
              <w:t>+852 3656 6054</w:t>
            </w:r>
          </w:p>
        </w:tc>
      </w:tr>
      <w:tr>
        <w:trPr/>
        <w:tc>
          <w:tcPr>
            <w:tcW w:w="14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rFonts w:ascii="Times New Roman;Times;Serif" w:hAnsi="Times New Roman;Times;Serif"/>
                <w:b/>
              </w:rPr>
              <w:t>E   </w:t>
            </w:r>
            <w:r>
              <w:rPr>
                <w:b/>
              </w:rPr>
              <w:t>nathan.powell@ogier.com</w:t>
            </w:r>
          </w:p>
        </w:tc>
      </w:tr>
      <w:tr>
        <w:trPr/>
        <w:tc>
          <w:tcPr>
            <w:tcW w:w="14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 </w:t>
            </w:r>
          </w:p>
        </w:tc>
      </w:tr>
      <w:tr>
        <w:trPr/>
        <w:tc>
          <w:tcPr>
            <w:tcW w:w="14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Reference: NMP/JTC/510130.00001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counsel to the Company in connection with the Company’s registration statement on Form F-1,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as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The Registration Statement relates to the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xml:space="preserve">) of an aggregate of 1,250,000 Class A Ordinary Shares (as defined in below) (the </w:t>
      </w:r>
      <w:r>
        <w:rPr>
          <w:rFonts w:ascii="Times New Roman;Times;Serif" w:hAnsi="Times New Roman;Times;Serif"/>
          <w:b/>
          <w:i w:val="false"/>
          <w:caps w:val="false"/>
          <w:smallCaps w:val="false"/>
          <w:sz w:val="20"/>
        </w:rPr>
        <w:t>Public Offering Shares</w:t>
      </w:r>
      <w:r>
        <w:rPr>
          <w:rFonts w:ascii="Times New Roman;Times;Serif" w:hAnsi="Times New Roman;Times;Serif"/>
          <w:b w:val="false"/>
          <w:i w:val="false"/>
          <w:caps w:val="false"/>
          <w:smallCaps w:val="false"/>
          <w:sz w:val="20"/>
        </w:rPr>
        <w:t xml:space="preserve">), plus an option to issue up to 15% of the Public Offering Shares to be sold in the Offering to cover the over-allotment option (the </w:t>
      </w:r>
      <w:r>
        <w:rPr>
          <w:rFonts w:ascii="Times New Roman;Times;Serif" w:hAnsi="Times New Roman;Times;Serif"/>
          <w:b/>
          <w:i w:val="false"/>
          <w:caps w:val="false"/>
          <w:smallCaps w:val="false"/>
          <w:sz w:val="20"/>
        </w:rPr>
        <w:t>Over-allotment Option</w:t>
      </w:r>
      <w:r>
        <w:rPr>
          <w:rFonts w:ascii="Times New Roman;Times;Serif" w:hAnsi="Times New Roman;Times;Serif"/>
          <w:b w:val="false"/>
          <w:i w:val="false"/>
          <w:caps w:val="false"/>
          <w:smallCaps w:val="false"/>
          <w:sz w:val="20"/>
        </w:rPr>
        <w:t xml:space="preserve">) to be granted to the underwriters of the Company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val="false"/>
          <w:caps w:val="false"/>
          <w:smallCaps w:val="false"/>
          <w:sz w:val="20"/>
        </w:rPr>
        <w:t>IPO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also be issuing non-redeemable warrants to the representative of the Underwriters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xml:space="preserve">) with respect to the IPO Shares (the </w:t>
      </w:r>
      <w:r>
        <w:rPr>
          <w:rFonts w:ascii="Times New Roman;Times;Serif" w:hAnsi="Times New Roman;Times;Serif"/>
          <w:b/>
          <w:i w:val="false"/>
          <w:caps w:val="false"/>
          <w:smallCaps w:val="false"/>
          <w:sz w:val="20"/>
        </w:rPr>
        <w:t>Representative's Warrants</w:t>
      </w:r>
      <w:r>
        <w:rPr>
          <w:rFonts w:ascii="Times New Roman;Times;Serif" w:hAnsi="Times New Roman;Times;Serif"/>
          <w:b w:val="false"/>
          <w:i w:val="false"/>
          <w:caps w:val="false"/>
          <w:smallCaps w:val="false"/>
          <w:sz w:val="20"/>
        </w:rPr>
        <w:t xml:space="preserve">) to purchase such number of Class A Ordinary Shares equal to an aggregate of 6% of the IPO Shares sold in the Offering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xml:space="preserve">) pursuant to an underwriting agreement to be entered by and between the Company and the Representative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 5.1, Exhibit 8.1 and Exhibit 23.2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595"/>
        <w:gridCol w:w="8882"/>
      </w:tblGrid>
      <w:tr>
        <w:trPr/>
        <w:tc>
          <w:tcPr>
            <w:tcW w:w="1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1</w:t>
            </w:r>
          </w:p>
        </w:tc>
        <w:tc>
          <w:tcPr>
            <w:tcW w:w="8882" w:type="dxa"/>
            <w:tcBorders/>
            <w:vAlign w:val="center"/>
          </w:tcPr>
          <w:p>
            <w:pPr>
              <w:pStyle w:val="TableContents"/>
              <w:bidi w:val="0"/>
              <w:spacing w:before="0" w:after="283"/>
              <w:jc w:val="both"/>
              <w:rPr/>
            </w:pPr>
            <w:r>
              <w:rPr/>
              <w:t>Documents examined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following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37"/>
        <w:gridCol w:w="9366"/>
      </w:tblGrid>
      <w:tr>
        <w:trPr/>
        <w:tc>
          <w:tcPr>
            <w:tcW w:w="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366" w:type="dxa"/>
            <w:tcBorders/>
            <w:vAlign w:val="center"/>
          </w:tcPr>
          <w:p>
            <w:pPr>
              <w:pStyle w:val="TableContents"/>
              <w:bidi w:val="0"/>
              <w:spacing w:before="0" w:after="283"/>
              <w:jc w:val="both"/>
              <w:rPr/>
            </w:pPr>
            <w:r>
              <w:rPr/>
              <w:t xml:space="preserve">the certificate of incorporation of the Company dated 15 August 2024 issued by the Registrar of Companies of the Cayman Islands (the </w:t>
            </w:r>
            <w:r>
              <w:rPr>
                <w:b/>
              </w:rPr>
              <w:t>Registrar</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52"/>
        <w:gridCol w:w="9351"/>
      </w:tblGrid>
      <w:tr>
        <w:trPr/>
        <w:tc>
          <w:tcPr>
            <w:tcW w:w="3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351" w:type="dxa"/>
            <w:tcBorders/>
            <w:vAlign w:val="center"/>
          </w:tcPr>
          <w:p>
            <w:pPr>
              <w:pStyle w:val="TableContents"/>
              <w:bidi w:val="0"/>
              <w:spacing w:before="0" w:after="283"/>
              <w:jc w:val="both"/>
              <w:rPr/>
            </w:pPr>
            <w:r>
              <w:rPr/>
              <w:t xml:space="preserve">the memorandum and articles of association of the Company as filed with the Registrar on 15 August 2024 (the </w:t>
            </w:r>
            <w:r>
              <w:rPr>
                <w:b/>
              </w:rPr>
              <w:t>Memorandum and Articles</w:t>
            </w:r>
            <w:r>
              <w:rPr/>
              <w: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30"/>
        <w:gridCol w:w="1246"/>
        <w:gridCol w:w="1321"/>
        <w:gridCol w:w="2608"/>
      </w:tblGrid>
      <w:tr>
        <w:trPr/>
        <w:tc>
          <w:tcPr>
            <w:tcW w:w="50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Providing advice on British Virgin Islands, 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ogier.com</w:t>
            </w:r>
          </w:p>
        </w:tc>
        <w:tc>
          <w:tcPr>
            <w:tcW w:w="124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Justin Davis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Dennis Li</w:t>
            </w:r>
          </w:p>
        </w:tc>
        <w:tc>
          <w:tcPr>
            <w:tcW w:w="13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Cecilia Li</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Florence Chan*</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Richard Bennett**</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James Bergstrom</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England and Wales</w:t>
            </w:r>
          </w:p>
          <w:p>
            <w:pPr>
              <w:pStyle w:val="TableContents"/>
              <w:bidi w:val="0"/>
              <w:spacing w:before="0" w:after="0"/>
              <w:ind w:left="0" w:right="0" w:hanging="0"/>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6"/>
              </w:rPr>
              <w:t>not ordinarily resident in Hong Kong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41"/>
        <w:gridCol w:w="9362"/>
      </w:tblGrid>
      <w:tr>
        <w:trPr/>
        <w:tc>
          <w:tcPr>
            <w:tcW w:w="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362" w:type="dxa"/>
            <w:tcBorders/>
            <w:vAlign w:val="center"/>
          </w:tcPr>
          <w:p>
            <w:pPr>
              <w:pStyle w:val="TableContents"/>
              <w:bidi w:val="0"/>
              <w:spacing w:before="0" w:after="283"/>
              <w:jc w:val="both"/>
              <w:rPr/>
            </w:pPr>
            <w:r>
              <w:rPr/>
              <w:t xml:space="preserve">a certificate of good standing dated 26 August 2025 (the </w:t>
            </w:r>
            <w:r>
              <w:rPr>
                <w:b/>
              </w:rPr>
              <w:t>Good Standing Certificate</w:t>
            </w:r>
            <w:r>
              <w:rPr/>
              <w:t>) issued by the Registrar in respect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75"/>
        <w:gridCol w:w="9328"/>
      </w:tblGrid>
      <w:tr>
        <w:trPr/>
        <w:tc>
          <w:tcPr>
            <w:tcW w:w="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(d)</w:t>
            </w:r>
          </w:p>
        </w:tc>
        <w:tc>
          <w:tcPr>
            <w:tcW w:w="9328" w:type="dxa"/>
            <w:tcBorders/>
            <w:vAlign w:val="center"/>
          </w:tcPr>
          <w:p>
            <w:pPr>
              <w:pStyle w:val="TableContents"/>
              <w:bidi w:val="0"/>
              <w:spacing w:before="0" w:after="283"/>
              <w:jc w:val="both"/>
              <w:rPr/>
            </w:pPr>
            <w:r>
              <w:rPr/>
              <w:t xml:space="preserve">the register of directors and officers of the Company as provided to us on 9 September 2025 (the </w:t>
            </w:r>
            <w:r>
              <w:rPr>
                <w:b/>
              </w:rPr>
              <w:t>ROD</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42"/>
        <w:gridCol w:w="9361"/>
      </w:tblGrid>
      <w:tr>
        <w:trPr/>
        <w:tc>
          <w:tcPr>
            <w:tcW w:w="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(e)</w:t>
            </w:r>
          </w:p>
        </w:tc>
        <w:tc>
          <w:tcPr>
            <w:tcW w:w="9361" w:type="dxa"/>
            <w:tcBorders/>
            <w:vAlign w:val="center"/>
          </w:tcPr>
          <w:p>
            <w:pPr>
              <w:pStyle w:val="TableContents"/>
              <w:bidi w:val="0"/>
              <w:spacing w:before="0" w:after="283"/>
              <w:jc w:val="both"/>
              <w:rPr/>
            </w:pPr>
            <w:r>
              <w:rPr/>
              <w:t xml:space="preserve">the register of members of the Company as provided to us on 8 September 2025 (the </w:t>
            </w:r>
            <w:r>
              <w:rPr>
                <w:b/>
              </w:rPr>
              <w:t>ROM</w:t>
            </w:r>
            <w:r>
              <w:rPr/>
              <w:t xml:space="preserve">, and together with the ROD, the </w:t>
            </w:r>
            <w:r>
              <w:rPr>
                <w:b/>
              </w:rPr>
              <w:t>Registers</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6"/>
        <w:gridCol w:w="9387"/>
      </w:tblGrid>
      <w:tr>
        <w:trPr/>
        <w:tc>
          <w:tcPr>
            <w:tcW w:w="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(f)</w:t>
            </w:r>
          </w:p>
        </w:tc>
        <w:tc>
          <w:tcPr>
            <w:tcW w:w="9387" w:type="dxa"/>
            <w:tcBorders/>
            <w:vAlign w:val="center"/>
          </w:tcPr>
          <w:p>
            <w:pPr>
              <w:pStyle w:val="TableContents"/>
              <w:bidi w:val="0"/>
              <w:spacing w:before="0" w:after="283"/>
              <w:jc w:val="both"/>
              <w:rPr/>
            </w:pPr>
            <w:r>
              <w:rPr/>
              <w:t xml:space="preserve">a certificate from a director of the Company dated the date of this opinion as to certain matters of facts (the </w:t>
            </w:r>
            <w:r>
              <w:rPr>
                <w:b/>
              </w:rPr>
              <w:t>Director's Certificate</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4"/>
        <w:gridCol w:w="9379"/>
      </w:tblGrid>
      <w:tr>
        <w:trPr/>
        <w:tc>
          <w:tcPr>
            <w:tcW w:w="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379" w:type="dxa"/>
            <w:tcBorders/>
            <w:vAlign w:val="center"/>
          </w:tcPr>
          <w:p>
            <w:pPr>
              <w:pStyle w:val="TableContents"/>
              <w:bidi w:val="0"/>
              <w:spacing w:before="0" w:after="283"/>
              <w:jc w:val="both"/>
              <w:rPr/>
            </w:pPr>
            <w:r>
              <w:rPr/>
              <w:t xml:space="preserve">copies of the written resolutions of the sole director of the Company dated 22 April 2025 and 5 September 2025 approving among others, the Company's filing of the Registration Statement and issuance and sale of the IPO Shares, the Representative's Warrants and the Warrant Shares (the </w:t>
            </w:r>
            <w:r>
              <w:rPr>
                <w:b/>
              </w:rPr>
              <w:t>Board Resolutions</w:t>
            </w:r>
            <w:r>
              <w:rPr/>
              <w:t>);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964"/>
        <w:gridCol w:w="8548"/>
      </w:tblGrid>
      <w:tr>
        <w:trPr/>
        <w:tc>
          <w:tcPr>
            <w:tcW w:w="12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pPr>
            <w:r>
              <w:rPr/>
              <w:t>(h)</w:t>
            </w:r>
          </w:p>
        </w:tc>
        <w:tc>
          <w:tcPr>
            <w:tcW w:w="8548" w:type="dxa"/>
            <w:tcBorders/>
            <w:vAlign w:val="center"/>
          </w:tcPr>
          <w:p>
            <w:pPr>
              <w:pStyle w:val="TableContents"/>
              <w:bidi w:val="0"/>
              <w:spacing w:before="0" w:after="283"/>
              <w:jc w:val="both"/>
              <w:rPr/>
            </w:pPr>
            <w:r>
              <w:rPr/>
              <w:t>the Registration Statement.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3"/>
        <w:gridCol w:w="935"/>
        <w:gridCol w:w="8450"/>
      </w:tblGrid>
      <w:tr>
        <w:trPr/>
        <w:tc>
          <w:tcPr>
            <w:tcW w:w="25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pPr>
            <w:r>
              <w:rPr/>
              <w:t>2</w:t>
            </w:r>
          </w:p>
        </w:tc>
        <w:tc>
          <w:tcPr>
            <w:tcW w:w="8450" w:type="dxa"/>
            <w:tcBorders/>
            <w:vAlign w:val="center"/>
          </w:tcPr>
          <w:p>
            <w:pPr>
              <w:pStyle w:val="TableContents"/>
              <w:bidi w:val="0"/>
              <w:spacing w:before="0" w:after="283"/>
              <w:jc w:val="both"/>
              <w:rPr/>
            </w:pPr>
            <w:r>
              <w:rPr/>
              <w:t>Assumptions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00"/>
        <w:gridCol w:w="9183"/>
      </w:tblGrid>
      <w:tr>
        <w:trPr/>
        <w:tc>
          <w:tcPr>
            <w:tcW w:w="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(a)</w:t>
            </w:r>
          </w:p>
        </w:tc>
        <w:tc>
          <w:tcPr>
            <w:tcW w:w="9183"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49"/>
        <w:gridCol w:w="9354"/>
      </w:tblGrid>
      <w:tr>
        <w:trPr/>
        <w:tc>
          <w:tcPr>
            <w:tcW w:w="3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354"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
        <w:gridCol w:w="266"/>
        <w:gridCol w:w="9336"/>
      </w:tblGrid>
      <w:tr>
        <w:trPr/>
        <w:tc>
          <w:tcPr>
            <w:tcW w:w="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336"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56"/>
        <w:gridCol w:w="9347"/>
      </w:tblGrid>
      <w:tr>
        <w:trPr/>
        <w:tc>
          <w:tcPr>
            <w:tcW w:w="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(d)</w:t>
            </w:r>
          </w:p>
        </w:tc>
        <w:tc>
          <w:tcPr>
            <w:tcW w:w="9347" w:type="dxa"/>
            <w:tcBorders/>
            <w:vAlign w:val="center"/>
          </w:tcPr>
          <w:p>
            <w:pPr>
              <w:pStyle w:val="TableContents"/>
              <w:bidi w:val="0"/>
              <w:spacing w:before="0" w:after="283"/>
              <w:jc w:val="both"/>
              <w:rPr/>
            </w:pPr>
            <w:r>
              <w:rPr/>
              <w:t>each of the Good Standing Certificate, the Registers and the Director’s Certificate is accurate and complete as at the date of this opinion;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31"/>
        <w:gridCol w:w="9372"/>
      </w:tblGrid>
      <w:tr>
        <w:trPr/>
        <w:tc>
          <w:tcPr>
            <w:tcW w:w="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(e)</w:t>
            </w:r>
          </w:p>
        </w:tc>
        <w:tc>
          <w:tcPr>
            <w:tcW w:w="9372" w:type="dxa"/>
            <w:tcBorders/>
            <w:vAlign w:val="center"/>
          </w:tcPr>
          <w:p>
            <w:pPr>
              <w:pStyle w:val="TableContents"/>
              <w:bidi w:val="0"/>
              <w:spacing w:before="0" w:after="283"/>
              <w:jc w:val="both"/>
              <w:rPr/>
            </w:pPr>
            <w:r>
              <w:rPr/>
              <w:t>the Memorandum and Articles of the Company provided to us are in full force and effect and have not been amended, varied, supplemented or revoked in any respect;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0"/>
        <w:gridCol w:w="9423"/>
      </w:tblGrid>
      <w:tr>
        <w:trPr/>
        <w:tc>
          <w:tcPr>
            <w:tcW w:w="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(f)</w:t>
            </w:r>
          </w:p>
        </w:tc>
        <w:tc>
          <w:tcPr>
            <w:tcW w:w="9423" w:type="dxa"/>
            <w:tcBorders/>
            <w:vAlign w:val="center"/>
          </w:tcPr>
          <w:p>
            <w:pPr>
              <w:pStyle w:val="TableContents"/>
              <w:bidi w:val="0"/>
              <w:spacing w:before="0" w:after="283"/>
              <w:jc w:val="both"/>
              <w:rPr/>
            </w:pPr>
            <w:r>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4"/>
        <w:gridCol w:w="9389"/>
      </w:tblGrid>
      <w:tr>
        <w:trPr/>
        <w:tc>
          <w:tcPr>
            <w:tcW w:w="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(g)</w:t>
            </w:r>
          </w:p>
        </w:tc>
        <w:tc>
          <w:tcPr>
            <w:tcW w:w="9389" w:type="dxa"/>
            <w:tcBorders/>
            <w:vAlign w:val="center"/>
          </w:tcPr>
          <w:p>
            <w:pPr>
              <w:pStyle w:val="TableContents"/>
              <w:bidi w:val="0"/>
              <w:spacing w:before="0" w:after="283"/>
              <w:jc w:val="both"/>
              <w:rPr/>
            </w:pPr>
            <w:r>
              <w:rPr/>
              <w:t>the Board Resolutions remain in full force and effect, have not been, and will not be rescinded or amended, and the sole director the Company has acted in good faith with a view to the best interests of the Company and has exercised the standard of care, diligence and skill that is required of him in approving the Offering and the transactions set out in the Board Resolutions and no director has a financial interest in or other relationship to a party of the transactions contemplated by the Offering and the Board Resolutions which has not been properly disclosed in the Board Resolutions;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30"/>
        <w:gridCol w:w="9373"/>
      </w:tblGrid>
      <w:tr>
        <w:trPr/>
        <w:tc>
          <w:tcPr>
            <w:tcW w:w="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(h)</w:t>
            </w:r>
          </w:p>
        </w:tc>
        <w:tc>
          <w:tcPr>
            <w:tcW w:w="9373"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Ordinary Shares (as defined below) and none of the Ordinary Shares have been offered or issued to residents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7"/>
        <w:gridCol w:w="9406"/>
      </w:tblGrid>
      <w:tr>
        <w:trPr/>
        <w:tc>
          <w:tcPr>
            <w:tcW w:w="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406" w:type="dxa"/>
            <w:tcBorders/>
            <w:vAlign w:val="center"/>
          </w:tcPr>
          <w:p>
            <w:pPr>
              <w:pStyle w:val="TableContents"/>
              <w:bidi w:val="0"/>
              <w:spacing w:before="0" w:after="283"/>
              <w:jc w:val="both"/>
              <w:rPr/>
            </w:pPr>
            <w:r>
              <w:rPr/>
              <w:t>the Company is, and after the allotment and issuance of the IPO Shares and Warrant Shares, will be able to pay its liabilities as they fall due;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0"/>
        <w:gridCol w:w="9413"/>
      </w:tblGrid>
      <w:tr>
        <w:trPr/>
        <w:tc>
          <w:tcPr>
            <w:tcW w:w="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(j)</w:t>
            </w:r>
          </w:p>
        </w:tc>
        <w:tc>
          <w:tcPr>
            <w:tcW w:w="9413" w:type="dxa"/>
            <w:tcBorders/>
            <w:vAlign w:val="center"/>
          </w:tcPr>
          <w:p>
            <w:pPr>
              <w:pStyle w:val="TableContents"/>
              <w:bidi w:val="0"/>
              <w:spacing w:before="0" w:after="283"/>
              <w:jc w:val="both"/>
              <w:rPr/>
            </w:pPr>
            <w:r>
              <w:rPr/>
              <w:t>there is no provision of the law of any jurisdiction, other than the Cayman Islands, which would have any implication in relation to the opinions expressed herein.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8"/>
        <w:gridCol w:w="1245"/>
        <w:gridCol w:w="8055"/>
      </w:tblGrid>
      <w:tr>
        <w:trPr/>
        <w:tc>
          <w:tcPr>
            <w:tcW w:w="33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w:t>
            </w:r>
          </w:p>
        </w:tc>
        <w:tc>
          <w:tcPr>
            <w:tcW w:w="8055" w:type="dxa"/>
            <w:tcBorders/>
            <w:vAlign w:val="center"/>
          </w:tcPr>
          <w:p>
            <w:pPr>
              <w:pStyle w:val="TableContents"/>
              <w:bidi w:val="0"/>
              <w:spacing w:before="0" w:after="283"/>
              <w:jc w:val="both"/>
              <w:rPr/>
            </w:pPr>
            <w:r>
              <w:rPr/>
              <w:t>Opinions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limitations and qualifications set forth in paragraph 4 below, we are of the opinion that:</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5"/>
        <w:gridCol w:w="9378"/>
      </w:tblGrid>
      <w:tr>
        <w:trPr/>
        <w:tc>
          <w:tcPr>
            <w:tcW w:w="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378" w:type="dxa"/>
            <w:tcBorders/>
            <w:vAlign w:val="center"/>
          </w:tcPr>
          <w:p>
            <w:pPr>
              <w:pStyle w:val="TableContents"/>
              <w:bidi w:val="0"/>
              <w:spacing w:before="0" w:after="283"/>
              <w:jc w:val="both"/>
              <w:rPr/>
            </w:pPr>
            <w:r>
              <w:rPr/>
              <w:t>The Company has been duly incorporated as an exempted company with limited liability on 15 August 2024 and is validly existing and in good standing under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4"/>
        <w:gridCol w:w="9379"/>
      </w:tblGrid>
      <w:tr>
        <w:trPr/>
        <w:tc>
          <w:tcPr>
            <w:tcW w:w="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379" w:type="dxa"/>
            <w:tcBorders/>
            <w:vAlign w:val="center"/>
          </w:tcPr>
          <w:p>
            <w:pPr>
              <w:pStyle w:val="TableContents"/>
              <w:bidi w:val="0"/>
              <w:spacing w:before="0" w:after="283"/>
              <w:jc w:val="both"/>
              <w:rPr/>
            </w:pPr>
            <w:r>
              <w:rPr/>
              <w:t xml:space="preserve">The authorised share capital of the Company is US$50,000 divided into 450,000,000 class A ordinary shares of US$0.0001 each (the </w:t>
            </w:r>
            <w:r>
              <w:rPr>
                <w:b/>
              </w:rPr>
              <w:t>Class A Ordinary Shares</w:t>
            </w:r>
            <w:r>
              <w:rPr/>
              <w:t xml:space="preserve">) and 50,000,000 class B ordinary shares of US$0.0001 each (the </w:t>
            </w:r>
            <w:r>
              <w:rPr>
                <w:b/>
              </w:rPr>
              <w:t xml:space="preserve">Class B Ordinary Shares, </w:t>
            </w:r>
            <w:r>
              <w:rPr/>
              <w:t xml:space="preserve">together with the Class A Ordinary Shares, the </w:t>
            </w:r>
            <w:r>
              <w:rPr>
                <w:b/>
              </w:rPr>
              <w:t>Ordinary Shares</w:t>
            </w:r>
            <w:r>
              <w:rPr/>
              <w: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Authorisation </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4"/>
        <w:gridCol w:w="9379"/>
      </w:tblGrid>
      <w:tr>
        <w:trPr/>
        <w:tc>
          <w:tcPr>
            <w:tcW w:w="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379" w:type="dxa"/>
            <w:tcBorders/>
            <w:vAlign w:val="center"/>
          </w:tcPr>
          <w:p>
            <w:pPr>
              <w:pStyle w:val="TableContents"/>
              <w:bidi w:val="0"/>
              <w:spacing w:before="0" w:after="283"/>
              <w:jc w:val="both"/>
              <w:rPr/>
            </w:pPr>
            <w:r>
              <w:rPr/>
              <w:t>The Company has taken all requisite corporate action to authorise the issuance and sale of the IPO Shares, the Representative's Warrants and the Warrant Shares under the Registration Statement.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IPO Shares and Warrant Shares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5"/>
        <w:gridCol w:w="9388"/>
      </w:tblGrid>
      <w:tr>
        <w:trPr/>
        <w:tc>
          <w:tcPr>
            <w:tcW w:w="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(d)</w:t>
            </w:r>
          </w:p>
        </w:tc>
        <w:tc>
          <w:tcPr>
            <w:tcW w:w="9388" w:type="dxa"/>
            <w:tcBorders/>
            <w:vAlign w:val="center"/>
          </w:tcPr>
          <w:p>
            <w:pPr>
              <w:pStyle w:val="TableContents"/>
              <w:bidi w:val="0"/>
              <w:spacing w:before="0" w:after="283"/>
              <w:jc w:val="both"/>
              <w:rPr/>
            </w:pPr>
            <w:r>
              <w:rPr/>
              <w:t>The IPO Shares, when issued and sold in accordance with the Registration Statement and the duly passed Board Resolutions and once consideration set forth in the Registration Statement is paid in full, will be validly issued, fully paid and non-assessable (meaning that no further sums will be payable with respect to them). Once the register of members of the Company has been updated to reflect the issuance of the IPO Shares, the shareholders recorded in the register of members will be deemed to have legal title to the IPO Shares set against their respective names.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9"/>
        <w:gridCol w:w="9404"/>
      </w:tblGrid>
      <w:tr>
        <w:trPr/>
        <w:tc>
          <w:tcPr>
            <w:tcW w:w="3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(e)</w:t>
            </w:r>
          </w:p>
        </w:tc>
        <w:tc>
          <w:tcPr>
            <w:tcW w:w="9404" w:type="dxa"/>
            <w:tcBorders/>
            <w:vAlign w:val="center"/>
          </w:tcPr>
          <w:p>
            <w:pPr>
              <w:pStyle w:val="TableContents"/>
              <w:bidi w:val="0"/>
              <w:spacing w:before="0" w:after="283"/>
              <w:jc w:val="both"/>
              <w:rPr/>
            </w:pPr>
            <w:r>
              <w:rPr/>
              <w:t>The Warrant Shares, when issued and sold in accordance with the Representative's Warrants when the Representative's Warrants are exercisable and the duly passed Board Resolutions and subject to payment of the exercise price therefor under the terms of the Representative's Warrants is paid in full, will be validly issued, fully paid and non-assessable (meaning that no further sums will be payable with respect to them). Once the register of members of the Company has been updated to reflect the issuance of the Warrant Shares, the shareholders recorded in the register of members will be deemed to have legal title to the Warrant Shares set against their respective names.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 Taxation</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5"/>
        <w:gridCol w:w="9418"/>
      </w:tblGrid>
      <w:tr>
        <w:trPr/>
        <w:tc>
          <w:tcPr>
            <w:tcW w:w="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418" w:type="dxa"/>
            <w:tcBorders/>
            <w:vAlign w:val="center"/>
          </w:tcPr>
          <w:p>
            <w:pPr>
              <w:pStyle w:val="TableContents"/>
              <w:bidi w:val="0"/>
              <w:spacing w:before="0" w:after="283"/>
              <w:jc w:val="both"/>
              <w:rPr/>
            </w:pPr>
            <w:r>
              <w:rPr/>
              <w:t>The statements contained in the Registration Statement in the section headed “</w:t>
            </w:r>
            <w:r>
              <w:rPr>
                <w:i/>
              </w:rPr>
              <w:t>Cayman Islands Tax Consideration</w:t>
            </w:r>
            <w:r>
              <w:rPr/>
              <w:t>”, in so far as they purport to summarise the laws or regulations of the Cayman Islands, are accurate in all material respects and that such statements constitute our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441"/>
        <w:gridCol w:w="9078"/>
      </w:tblGrid>
      <w:tr>
        <w:trPr/>
        <w:tc>
          <w:tcPr>
            <w:tcW w:w="11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4</w:t>
            </w:r>
          </w:p>
        </w:tc>
        <w:tc>
          <w:tcPr>
            <w:tcW w:w="9078" w:type="dxa"/>
            <w:tcBorders/>
            <w:vAlign w:val="center"/>
          </w:tcPr>
          <w:p>
            <w:pPr>
              <w:pStyle w:val="TableContents"/>
              <w:bidi w:val="0"/>
              <w:spacing w:before="0" w:after="283"/>
              <w:jc w:val="both"/>
              <w:rPr/>
            </w:pPr>
            <w:r>
              <w:rPr/>
              <w:t>Limitations and Qualifications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299"/>
        <w:gridCol w:w="8185"/>
      </w:tblGrid>
      <w:tr>
        <w:trPr/>
        <w:tc>
          <w:tcPr>
            <w:tcW w:w="15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pPr>
            <w:r>
              <w:rPr/>
              <w:t>4.1</w:t>
            </w:r>
          </w:p>
        </w:tc>
        <w:tc>
          <w:tcPr>
            <w:tcW w:w="8185" w:type="dxa"/>
            <w:tcBorders/>
            <w:vAlign w:val="center"/>
          </w:tcPr>
          <w:p>
            <w:pPr>
              <w:pStyle w:val="TableContents"/>
              <w:bidi w:val="0"/>
              <w:spacing w:before="0" w:after="283"/>
              <w:jc w:val="both"/>
              <w:rPr/>
            </w:pPr>
            <w:r>
              <w:rPr/>
              <w:t>We offer no opinion: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07"/>
        <w:gridCol w:w="9396"/>
      </w:tblGrid>
      <w:tr>
        <w:trPr/>
        <w:tc>
          <w:tcPr>
            <w:tcW w:w="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396"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7"/>
        <w:gridCol w:w="9386"/>
      </w:tblGrid>
      <w:tr>
        <w:trPr/>
        <w:tc>
          <w:tcPr>
            <w:tcW w:w="3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(b)</w:t>
            </w:r>
          </w:p>
        </w:tc>
        <w:tc>
          <w:tcPr>
            <w:tcW w:w="9386"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302"/>
        <w:gridCol w:w="9301"/>
      </w:tblGrid>
      <w:tr>
        <w:trPr/>
        <w:tc>
          <w:tcPr>
            <w:tcW w:w="3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4.2</w:t>
            </w:r>
          </w:p>
        </w:tc>
        <w:tc>
          <w:tcPr>
            <w:tcW w:w="9301" w:type="dxa"/>
            <w:tcBorders/>
            <w:vAlign w:val="center"/>
          </w:tcPr>
          <w:p>
            <w:pPr>
              <w:pStyle w:val="TableContents"/>
              <w:bidi w:val="0"/>
              <w:spacing w:before="0" w:after="283"/>
              <w:jc w:val="both"/>
              <w:rPr/>
            </w:pPr>
            <w:r>
              <w:rPr/>
              <w:t>Under the Companies Act (Revised) (</w:t>
            </w:r>
            <w:r>
              <w:rPr>
                <w:b/>
              </w:rPr>
              <w:t>Companies Act</w:t>
            </w:r>
            <w:r>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302"/>
        <w:gridCol w:w="9301"/>
      </w:tblGrid>
      <w:tr>
        <w:trPr/>
        <w:tc>
          <w:tcPr>
            <w:tcW w:w="3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4.3</w:t>
            </w:r>
          </w:p>
        </w:tc>
        <w:tc>
          <w:tcPr>
            <w:tcW w:w="9301" w:type="dxa"/>
            <w:tcBorders/>
            <w:vAlign w:val="center"/>
          </w:tcPr>
          <w:p>
            <w:pPr>
              <w:pStyle w:val="TableContents"/>
              <w:bidi w:val="0"/>
              <w:spacing w:before="0" w:after="283"/>
              <w:jc w:val="both"/>
              <w:rPr/>
            </w:pPr>
            <w:r>
              <w:rPr/>
              <w:t xml:space="preserve">In </w:t>
            </w:r>
            <w:r>
              <w:rPr>
                <w:b/>
              </w:rPr>
              <w:t>good standing</w:t>
            </w:r>
            <w:r>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441"/>
        <w:gridCol w:w="9078"/>
      </w:tblGrid>
      <w:tr>
        <w:trPr/>
        <w:tc>
          <w:tcPr>
            <w:tcW w:w="11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5</w:t>
            </w:r>
          </w:p>
        </w:tc>
        <w:tc>
          <w:tcPr>
            <w:tcW w:w="9078"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655"/>
        <w:gridCol w:w="7787"/>
      </w:tblGrid>
      <w:tr>
        <w:trPr/>
        <w:tc>
          <w:tcPr>
            <w:tcW w:w="19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5.1</w:t>
            </w:r>
          </w:p>
        </w:tc>
        <w:tc>
          <w:tcPr>
            <w:tcW w:w="7787" w:type="dxa"/>
            <w:tcBorders/>
            <w:vAlign w:val="center"/>
          </w:tcPr>
          <w:p>
            <w:pPr>
              <w:pStyle w:val="TableContents"/>
              <w:bidi w:val="0"/>
              <w:spacing w:before="0" w:after="283"/>
              <w:jc w:val="both"/>
              <w:rPr/>
            </w:pPr>
            <w:r>
              <w:rPr/>
              <w:t>This opinion is: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4"/>
        <w:gridCol w:w="9293"/>
      </w:tblGrid>
      <w:tr>
        <w:trPr/>
        <w:tc>
          <w:tcPr>
            <w:tcW w:w="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(a)</w:t>
            </w:r>
          </w:p>
        </w:tc>
        <w:tc>
          <w:tcPr>
            <w:tcW w:w="9293"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8"/>
        <w:gridCol w:w="8974"/>
      </w:tblGrid>
      <w:tr>
        <w:trPr/>
        <w:tc>
          <w:tcPr>
            <w:tcW w:w="7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56"/>
        <w:gridCol w:w="9347"/>
      </w:tblGrid>
      <w:tr>
        <w:trPr/>
        <w:tc>
          <w:tcPr>
            <w:tcW w:w="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(c)</w:t>
            </w:r>
          </w:p>
        </w:tc>
        <w:tc>
          <w:tcPr>
            <w:tcW w:w="934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302"/>
        <w:gridCol w:w="9301"/>
      </w:tblGrid>
      <w:tr>
        <w:trPr/>
        <w:tc>
          <w:tcPr>
            <w:tcW w:w="3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5.2</w:t>
            </w:r>
          </w:p>
        </w:tc>
        <w:tc>
          <w:tcPr>
            <w:tcW w:w="9301"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2"/>
        <w:gridCol w:w="1300"/>
        <w:gridCol w:w="7986"/>
      </w:tblGrid>
      <w:tr>
        <w:trPr/>
        <w:tc>
          <w:tcPr>
            <w:tcW w:w="35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pPr>
            <w:r>
              <w:rPr/>
              <w:t>6</w:t>
            </w:r>
          </w:p>
        </w:tc>
        <w:tc>
          <w:tcPr>
            <w:tcW w:w="7986" w:type="dxa"/>
            <w:tcBorders/>
            <w:vAlign w:val="center"/>
          </w:tcPr>
          <w:p>
            <w:pPr>
              <w:pStyle w:val="TableContents"/>
              <w:bidi w:val="0"/>
              <w:spacing w:before="0" w:after="283"/>
              <w:jc w:val="both"/>
              <w:rPr/>
            </w:pPr>
            <w:r>
              <w:rPr/>
              <w:t>Reliance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headings “Enforceability of Civil Liabilities”, "Material Tax Considerations" and "Legal Matters" of the Registration Statement. In giving such consent, we do not believe that we are “experts” within the meaning of such term used in the Securities Act or the rules and regulations of the Commission issued thereunder with respect to any part of the Registration Statement, including this opinion as an exhibit or otherwise.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offer and sale of the IPO Shares, the Representative's Warrants and the Warrant Shares and while the Registration Statement is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42875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9"/>
                    <a:stretch>
                      <a:fillRect/>
                    </a:stretch>
                  </pic:blipFill>
                  <pic:spPr bwMode="auto">
                    <a:xfrm>
                      <a:off x="0" y="0"/>
                      <a:ext cx="1428750" cy="714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2242710ex5-2_ultratrex.htm"/>
      <w:bookmarkStart w:id="5" w:name="ksea022242710ex52_ultratrex"/>
      <w:bookmarkEnd w:id="4"/>
      <w:bookmarkEnd w:id="5"/>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righ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3015"/>
        <w:gridCol w:w="2405"/>
      </w:tblGrid>
      <w:tr>
        <w:trPr/>
        <w:tc>
          <w:tcPr>
            <w:tcW w:w="3015" w:type="dxa"/>
            <w:tcBorders/>
            <w:vAlign w:val="center"/>
          </w:tcPr>
          <w:p>
            <w:pPr>
              <w:pStyle w:val="TableContents"/>
              <w:bidi w:val="0"/>
              <w:spacing w:before="0" w:after="283"/>
              <w:jc w:val="left"/>
              <w:rPr/>
            </w:pPr>
            <w:r>
              <w:rPr/>
              <w:drawing>
                <wp:inline distT="0" distB="0" distL="0" distR="0">
                  <wp:extent cx="190500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0"/>
                          <a:stretch>
                            <a:fillRect/>
                          </a:stretch>
                        </pic:blipFill>
                        <pic:spPr bwMode="auto">
                          <a:xfrm>
                            <a:off x="0" y="0"/>
                            <a:ext cx="1905000" cy="190500"/>
                          </a:xfrm>
                          <a:prstGeom prst="rect">
                            <a:avLst/>
                          </a:prstGeom>
                        </pic:spPr>
                      </pic:pic>
                    </a:graphicData>
                  </a:graphic>
                </wp:inline>
              </w:drawing>
            </w:r>
          </w:p>
        </w:tc>
        <w:tc>
          <w:tcPr>
            <w:tcW w:w="2405" w:type="dxa"/>
            <w:tcBorders/>
            <w:vAlign w:val="center"/>
          </w:tcPr>
          <w:p>
            <w:pPr>
              <w:pStyle w:val="TableContents"/>
              <w:bidi w:val="0"/>
              <w:spacing w:before="0" w:after="283"/>
              <w:jc w:val="right"/>
              <w:rPr>
                <w:sz w:val="20"/>
              </w:rPr>
            </w:pPr>
            <w:r>
              <w:rPr>
                <w:sz w:val="20"/>
              </w:rPr>
              <w:t>366 Madison Avenue, 3rd Fl.</w:t>
              <w:br/>
              <w:t>New York, NY 10017</w:t>
              <w:br/>
              <w:t>tel: (212) 588-0022</w:t>
              <w:br/>
              <w:t>fax: (212) 826-9307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Orchard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05-02, Midpoint Orchard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238852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United States counsel for Ultratrex Inc., a company incorporated in the Cayman Islands (the “Company”), in connection with the registration statement on Form F-1, File No. 333-290101 (the “Registration Statement”), including all amendments and supplements thereto, and accompanying prospectus filed with the U.S. Securities and Exchange Commission (the “SEC”) under the Securities Act of 1933, as amended (the “Securities Act”), with respect to the offering to the public of class A ordinary shares of the Company, par value $0.0001 per share (“Class A Shares”), including additional Class A Shares pursuant to an over-allotment option granted to the underwriters (collectively the “IPO Shares”). The IPO Shares are to be sold by the Company pursuant to an underwriting agreement (the “Underwriting Agreement”) to be entered into by and between the Company and Craft Capital Management LLC, acting as the representative of the several underwriters. The Company is also registering (i) warrants to purchase up to 6.0% of the Class A Shares sold in the offering to be issued to the underwriters as compensation pursuant to the Underwriting Agreement (the “Underwriters’ Warrants”), and (ii) the Class A Shares issuable upon exercise of the Underwriters’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in connection with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following documents:</w:t>
      </w:r>
    </w:p>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170"/>
        <w:gridCol w:w="2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1.</w:t>
            </w:r>
          </w:p>
        </w:tc>
        <w:tc>
          <w:tcPr>
            <w:tcW w:w="2300" w:type="dxa"/>
            <w:tcBorders/>
            <w:vAlign w:val="center"/>
          </w:tcPr>
          <w:p>
            <w:pPr>
              <w:pStyle w:val="TableContents"/>
              <w:bidi w:val="0"/>
              <w:spacing w:before="0" w:after="283"/>
              <w:jc w:val="both"/>
              <w:rPr>
                <w:sz w:val="20"/>
              </w:rPr>
            </w:pPr>
            <w:r>
              <w:rPr>
                <w:sz w:val="20"/>
              </w:rPr>
              <w:t>The Registration Statement,</w:t>
            </w:r>
          </w:p>
        </w:tc>
      </w:tr>
    </w:tbl>
    <w:p>
      <w:pPr>
        <w:pStyle w:val="TextBody"/>
        <w:bidi w:val="0"/>
        <w:spacing w:before="0" w:after="0"/>
        <w:ind w:left="1160" w:right="0" w:hanging="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00"/>
        <w:gridCol w:w="74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430" w:type="dxa"/>
            <w:tcBorders/>
            <w:vAlign w:val="center"/>
          </w:tcPr>
          <w:p>
            <w:pPr>
              <w:pStyle w:val="TableContents"/>
              <w:bidi w:val="0"/>
              <w:spacing w:before="0" w:after="283"/>
              <w:jc w:val="both"/>
              <w:rPr>
                <w:sz w:val="20"/>
              </w:rPr>
            </w:pPr>
            <w:r>
              <w:rPr>
                <w:sz w:val="20"/>
              </w:rPr>
              <w:t>The form of the Underwriting Agreement, filed as Exhibit 1.1 to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3.</w:t>
            </w:r>
          </w:p>
        </w:tc>
        <w:tc>
          <w:tcPr>
            <w:tcW w:w="7280" w:type="dxa"/>
            <w:tcBorders/>
            <w:vAlign w:val="center"/>
          </w:tcPr>
          <w:p>
            <w:pPr>
              <w:pStyle w:val="TableContents"/>
              <w:bidi w:val="0"/>
              <w:spacing w:before="0" w:after="283"/>
              <w:jc w:val="both"/>
              <w:rPr>
                <w:sz w:val="20"/>
              </w:rPr>
            </w:pPr>
            <w:r>
              <w:rPr>
                <w:sz w:val="20"/>
              </w:rPr>
              <w:t>The form of the Underwriters’ Warrants, filed as Exhibit 4.1 to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4.</w:t>
            </w:r>
          </w:p>
        </w:tc>
        <w:tc>
          <w:tcPr>
            <w:tcW w:w="8480" w:type="dxa"/>
            <w:tcBorders/>
            <w:vAlign w:val="center"/>
          </w:tcPr>
          <w:p>
            <w:pPr>
              <w:pStyle w:val="TableContents"/>
              <w:bidi w:val="0"/>
              <w:spacing w:before="0" w:after="283"/>
              <w:jc w:val="both"/>
              <w:rPr>
                <w:sz w:val="20"/>
              </w:rPr>
            </w:pPr>
            <w:r>
              <w:rPr>
                <w:sz w:val="20"/>
              </w:rPr>
              <w:t>a copy of the executed written resolutions of the directors of the Company dated September 5, 2025,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20"/>
              </w:rPr>
            </w:pPr>
            <w:r>
              <w:rPr>
                <w:sz w:val="20"/>
              </w:rPr>
              <w:t>5.</w:t>
            </w:r>
          </w:p>
        </w:tc>
        <w:tc>
          <w:tcPr>
            <w:tcW w:w="9966" w:type="dxa"/>
            <w:tcBorders/>
            <w:vAlign w:val="center"/>
          </w:tcPr>
          <w:p>
            <w:pPr>
              <w:pStyle w:val="TableContents"/>
              <w:bidi w:val="0"/>
              <w:spacing w:before="0" w:after="283"/>
              <w:jc w:val="both"/>
              <w:rPr>
                <w:sz w:val="20"/>
              </w:rPr>
            </w:pPr>
            <w:r>
              <w:rPr>
                <w:sz w:val="20"/>
              </w:rPr>
              <w:t xml:space="preserve">such other documents and corporate records as we have deemed necessary or appropriate in order to enable us to render the opinion below.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assumed (i) the validity and accuracy of the documents and corporate records that we have examined, (ii) the genuineness of all signatures, the legal capacity of all natural persons, the authenticity of all documents submitted to us as originals, the conformity to original documents of all documents submitted to us as certified or photostatic copies and the authenticity of the originals of such documents, (iii) that all relevant documents have been, or will be, validly authorized, executed, delivered and performed by all of the relevant parties and (iv) the representations and warranties in the form of the documents described above that have not yet been executed are actual representations and warranties of the party that will be required to make them in the executed versions. As to any facts material to the opinion expressed herein that we did not independently establish or verify, we have relied upon statements and representations of officers and other representatives of the Company and have assumed that such statements and representations are true, correct and complete without regard to any qualification as to knowledge or belief. Our opinion is conditioned upon, among other things, the initial and continuing truth, accuracy, and completeness of the items described above on which we are relying.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qualifications set forth in the Registration Statement, we are of the opinion that the Underwriters’ Warrants, when issued as contemplated in the Registration Statement and the Underwriting Agreement, will be valid and legally binding obligations of the Company, enforceable against the Company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application of the laws of the State of New York, the Securities Act and the rules and regulations of the SEC promulgated thereunder only, and we express no opinion with respect to the applicability of other federal laws, the laws of other countries, the laws of any state of the United States or any other jurisdiction, or as to any matters of municipal law or the laws of any other local agencies within any state. No opinion is expressed as to any federal securities laws except as specifically set forth herein. Our opinion represents only our interpretation of the law and has no binding, legal effect on, without limitation, any court. It is possible that contrary positions may be asserted and that one or more courts may sustain such contrary positions. Our opinion is expressed as of the date hereof, and we are under no obligation to supplement or revise this opinion to reflect any changes, including changes which have retroactive effect (i) in applicable law, or (ii) in any fact, information, document, corporate record, covenant, statement, representation, or assumption stated herein that becomes untrue, incorrect or incomplete.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furnished to you for use in connection with the Registration Statement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pStyle w:val="TextBody"/>
        <w:bidi w:val="0"/>
        <w:spacing w:before="0" w:after="0"/>
        <w:ind w:left="5040" w:right="0" w:firstLine="720"/>
        <w:jc w:val="left"/>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2105"/>
      </w:tblGrid>
      <w:tr>
        <w:trPr/>
        <w:tc>
          <w:tcPr>
            <w:tcW w:w="2105" w:type="dxa"/>
            <w:tcBorders/>
            <w:vAlign w:val="center"/>
          </w:tcPr>
          <w:p>
            <w:pPr>
              <w:pStyle w:val="TableContents"/>
              <w:bidi w:val="0"/>
              <w:spacing w:before="0" w:after="283"/>
              <w:jc w:val="left"/>
              <w:rPr>
                <w:sz w:val="20"/>
              </w:rPr>
            </w:pPr>
            <w:r>
              <w:rPr>
                <w:sz w:val="20"/>
              </w:rPr>
              <w:t>Very truly yours,</w:t>
            </w:r>
          </w:p>
        </w:tc>
      </w:tr>
      <w:tr>
        <w:trPr/>
        <w:tc>
          <w:tcPr>
            <w:tcW w:w="210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i/>
                <w:sz w:val="20"/>
              </w:rPr>
            </w:pPr>
            <w:r>
              <w:rPr>
                <w:i/>
                <w:sz w:val="20"/>
              </w:rPr>
              <w:t>/s/ Ortoli Rosenstadt LLP</w:t>
            </w:r>
          </w:p>
        </w:tc>
      </w:tr>
      <w:tr>
        <w:trPr/>
        <w:tc>
          <w:tcPr>
            <w:tcW w:w="210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20"/>
              </w:rPr>
            </w:pPr>
            <w:r>
              <w:rPr>
                <w:sz w:val="20"/>
              </w:rPr>
              <w:t>Ortoli Rosenstadt LLP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22242710ex99-12_ultratrex.htm"/>
      <w:bookmarkStart w:id="7" w:name="ksea022242710ex9912_ultratrex"/>
      <w:bookmarkEnd w:id="6"/>
      <w:bookmarkEnd w:id="7"/>
      <w:r>
        <w:rPr>
          <w:rFonts w:ascii="Times New Roman;Times;Serif" w:hAnsi="Times New Roman;Times;Serif"/>
          <w:b/>
          <w:i w:val="false"/>
          <w:caps w:val="false"/>
          <w:smallCaps w:val="false"/>
          <w:sz w:val="20"/>
        </w:rPr>
        <w:t>Exhibit 99.12</w:t>
      </w:r>
      <w:r>
        <w:br w:type="page"/>
      </w:r>
    </w:p>
    <w:p>
      <w:pPr>
        <w:pStyle w:val="TextBody"/>
        <w:bidi w:val="0"/>
        <w:spacing w:before="0" w:after="0"/>
        <w:ind w:left="0" w:right="0" w:hanging="0"/>
        <w:jc w:val="center"/>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1140"/>
        <w:gridCol w:w="1955"/>
      </w:tblGrid>
      <w:tr>
        <w:trPr/>
        <w:tc>
          <w:tcPr>
            <w:tcW w:w="1140" w:type="dxa"/>
            <w:vMerge w:val="restart"/>
            <w:tcBorders/>
            <w:vAlign w:val="center"/>
          </w:tcPr>
          <w:p>
            <w:pPr>
              <w:pStyle w:val="TableContents"/>
              <w:bidi w:val="0"/>
              <w:spacing w:before="0" w:after="283"/>
              <w:jc w:val="left"/>
              <w:rPr/>
            </w:pPr>
            <w:r>
              <w:rPr/>
              <w:drawing>
                <wp:inline distT="0" distB="0" distL="0" distR="0">
                  <wp:extent cx="714375" cy="857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1"/>
                          <a:stretch>
                            <a:fillRect/>
                          </a:stretch>
                        </pic:blipFill>
                        <pic:spPr bwMode="auto">
                          <a:xfrm>
                            <a:off x="0" y="0"/>
                            <a:ext cx="714375" cy="857250"/>
                          </a:xfrm>
                          <a:prstGeom prst="rect">
                            <a:avLst/>
                          </a:prstGeom>
                        </pic:spPr>
                      </pic:pic>
                    </a:graphicData>
                  </a:graphic>
                </wp:inline>
              </w:drawing>
            </w:r>
          </w:p>
        </w:tc>
        <w:tc>
          <w:tcPr>
            <w:tcW w:w="1955" w:type="dxa"/>
            <w:tcBorders/>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Partners</w:t>
            </w:r>
          </w:p>
        </w:tc>
      </w:tr>
      <w:tr>
        <w:trPr/>
        <w:tc>
          <w:tcPr>
            <w:tcW w:w="1140" w:type="dxa"/>
            <w:vMerge w:val="continue"/>
            <w:tcBorders/>
            <w:vAlign w:val="center"/>
          </w:tcPr>
          <w:p>
            <w:pPr>
              <w:pStyle w:val="Normal"/>
              <w:bidi w:val="0"/>
              <w:jc w:val="left"/>
              <w:rPr/>
            </w:pPr>
            <w:r>
              <w:rPr/>
            </w:r>
          </w:p>
        </w:tc>
        <w:tc>
          <w:tcPr>
            <w:tcW w:w="195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Darren Loo Hee Guan</w:t>
            </w:r>
          </w:p>
        </w:tc>
      </w:tr>
      <w:tr>
        <w:trPr/>
        <w:tc>
          <w:tcPr>
            <w:tcW w:w="1140" w:type="dxa"/>
            <w:vMerge w:val="continue"/>
            <w:tcBorders/>
            <w:vAlign w:val="center"/>
          </w:tcPr>
          <w:p>
            <w:pPr>
              <w:pStyle w:val="Normal"/>
              <w:bidi w:val="0"/>
              <w:jc w:val="left"/>
              <w:rPr/>
            </w:pPr>
            <w:r>
              <w:rPr/>
            </w:r>
          </w:p>
        </w:tc>
        <w:tc>
          <w:tcPr>
            <w:tcW w:w="195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Selma Enolil Mustapha</w:t>
            </w:r>
          </w:p>
        </w:tc>
      </w:tr>
      <w:tr>
        <w:trPr/>
        <w:tc>
          <w:tcPr>
            <w:tcW w:w="1140" w:type="dxa"/>
            <w:vMerge w:val="continue"/>
            <w:tcBorders/>
            <w:vAlign w:val="center"/>
          </w:tcPr>
          <w:p>
            <w:pPr>
              <w:pStyle w:val="Normal"/>
              <w:bidi w:val="0"/>
              <w:jc w:val="left"/>
              <w:rPr/>
            </w:pPr>
            <w:r>
              <w:rPr/>
            </w:r>
          </w:p>
        </w:tc>
        <w:tc>
          <w:tcPr>
            <w:tcW w:w="1955" w:type="dxa"/>
            <w:tcBorders/>
            <w:vAlign w:val="center"/>
          </w:tcPr>
          <w:p>
            <w:pPr>
              <w:pStyle w:val="TableContents"/>
              <w:bidi w:val="0"/>
              <w:spacing w:before="0" w:after="283"/>
              <w:jc w:val="right"/>
              <w:rPr/>
            </w:pPr>
            <w:r>
              <w:rPr/>
              <w:t> </w:t>
            </w:r>
          </w:p>
        </w:tc>
      </w:tr>
      <w:tr>
        <w:trPr/>
        <w:tc>
          <w:tcPr>
            <w:tcW w:w="1140" w:type="dxa"/>
            <w:vMerge w:val="continue"/>
            <w:tcBorders/>
            <w:vAlign w:val="center"/>
          </w:tcPr>
          <w:p>
            <w:pPr>
              <w:pStyle w:val="Normal"/>
              <w:bidi w:val="0"/>
              <w:jc w:val="left"/>
              <w:rPr/>
            </w:pPr>
            <w:r>
              <w:rPr/>
            </w:r>
          </w:p>
        </w:tc>
        <w:tc>
          <w:tcPr>
            <w:tcW w:w="195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Legal Assistants</w:t>
            </w:r>
          </w:p>
        </w:tc>
      </w:tr>
      <w:tr>
        <w:trPr/>
        <w:tc>
          <w:tcPr>
            <w:tcW w:w="1140" w:type="dxa"/>
            <w:vMerge w:val="continue"/>
            <w:tcBorders/>
            <w:vAlign w:val="center"/>
          </w:tcPr>
          <w:p>
            <w:pPr>
              <w:pStyle w:val="Normal"/>
              <w:bidi w:val="0"/>
              <w:jc w:val="left"/>
              <w:rPr/>
            </w:pPr>
            <w:r>
              <w:rPr/>
            </w:r>
          </w:p>
        </w:tc>
        <w:tc>
          <w:tcPr>
            <w:tcW w:w="195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James Tan Jiin Jou</w:t>
            </w:r>
          </w:p>
        </w:tc>
      </w:tr>
      <w:tr>
        <w:trPr/>
        <w:tc>
          <w:tcPr>
            <w:tcW w:w="1140" w:type="dxa"/>
            <w:vMerge w:val="continue"/>
            <w:tcBorders/>
            <w:vAlign w:val="center"/>
          </w:tcPr>
          <w:p>
            <w:pPr>
              <w:pStyle w:val="Normal"/>
              <w:bidi w:val="0"/>
              <w:jc w:val="left"/>
              <w:rPr/>
            </w:pPr>
            <w:r>
              <w:rPr/>
            </w:r>
          </w:p>
        </w:tc>
        <w:tc>
          <w:tcPr>
            <w:tcW w:w="195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Alvin Lim Hwa Yee</w:t>
            </w:r>
          </w:p>
        </w:tc>
      </w:tr>
      <w:tr>
        <w:trPr/>
        <w:tc>
          <w:tcPr>
            <w:tcW w:w="1140" w:type="dxa"/>
            <w:vMerge w:val="continue"/>
            <w:tcBorders/>
            <w:vAlign w:val="center"/>
          </w:tcPr>
          <w:p>
            <w:pPr>
              <w:pStyle w:val="Normal"/>
              <w:bidi w:val="0"/>
              <w:jc w:val="left"/>
              <w:rPr/>
            </w:pPr>
            <w:r>
              <w:rPr/>
            </w:r>
          </w:p>
        </w:tc>
        <w:tc>
          <w:tcPr>
            <w:tcW w:w="195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Luqman Harith Hazimi</w:t>
            </w:r>
          </w:p>
        </w:tc>
      </w:tr>
    </w:tbl>
    <w:p>
      <w:pPr>
        <w:pStyle w:val="TextBody"/>
        <w:bidi w:val="0"/>
        <w:spacing w:before="0" w:after="0"/>
        <w:ind w:left="0" w:right="0" w:hanging="0"/>
        <w:jc w:val="center"/>
        <w:rPr>
          <w:caps w:val="false"/>
          <w:smallCaps w:val="false"/>
        </w:rPr>
      </w:pPr>
      <w:r>
        <w:rPr>
          <w:caps w:val="false"/>
          <w:smallCaps w:val="false"/>
        </w:rPr>
        <w:t> </w:t>
      </w:r>
    </w:p>
    <w:tbl>
      <w:tblPr>
        <w:tblW w:w="2655" w:type="dxa"/>
        <w:jc w:val="left"/>
        <w:tblInd w:w="0" w:type="dxa"/>
        <w:tblLayout w:type="fixed"/>
        <w:tblCellMar>
          <w:top w:w="0" w:type="dxa"/>
          <w:left w:w="0" w:type="dxa"/>
          <w:bottom w:w="0" w:type="dxa"/>
          <w:right w:w="0" w:type="dxa"/>
        </w:tblCellMar>
      </w:tblPr>
      <w:tblGrid>
        <w:gridCol w:w="695"/>
        <w:gridCol w:w="80"/>
        <w:gridCol w:w="1880"/>
      </w:tblGrid>
      <w:tr>
        <w:trPr/>
        <w:tc>
          <w:tcPr>
            <w:tcW w:w="6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Date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 September 2025</w:t>
            </w:r>
          </w:p>
        </w:tc>
      </w:tr>
      <w:tr>
        <w:trPr/>
        <w:tc>
          <w:tcPr>
            <w:tcW w:w="6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Our ref</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0" w:type="dxa"/>
            <w:tcBorders/>
            <w:vAlign w:val="center"/>
          </w:tcPr>
          <w:p>
            <w:pPr>
              <w:pStyle w:val="TableContents"/>
              <w:bidi w:val="0"/>
              <w:spacing w:before="0" w:after="283"/>
              <w:jc w:val="left"/>
              <w:rPr>
                <w:sz w:val="20"/>
              </w:rPr>
            </w:pPr>
            <w:r>
              <w:rPr>
                <w:sz w:val="20"/>
              </w:rPr>
              <w:t>DL/SEM/CC2405-920</w:t>
            </w:r>
          </w:p>
        </w:tc>
      </w:tr>
      <w:tr>
        <w:trPr/>
        <w:tc>
          <w:tcPr>
            <w:tcW w:w="6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Your ref</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Orchard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05-01, Midpoint Orchard </w:t>
        <w:br/>
        <w:t>Singapore 238852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Attention:</w:t>
      </w:r>
      <w:r>
        <w:rPr>
          <w:rFonts w:ascii="Times New Roman;Times;Serif" w:hAnsi="Times New Roman;Times;Serif"/>
          <w:b w:val="false"/>
          <w:i w:val="false"/>
          <w:caps w:val="false"/>
          <w:smallCaps w:val="false"/>
          <w:sz w:val="20"/>
        </w:rPr>
        <w:t xml:space="preserve"> Mr. Wong Kok Seng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28" w:type="dxa"/>
          <w:right w:w="0" w:type="dxa"/>
        </w:tblCellMar>
      </w:tblPr>
      <w:tblGrid>
        <w:gridCol w:w="4655"/>
      </w:tblGrid>
      <w:tr>
        <w:trPr/>
        <w:tc>
          <w:tcPr>
            <w:tcW w:w="4655" w:type="dxa"/>
            <w:tcBorders>
              <w:bottom w:val="single" w:sz="12" w:space="0" w:color="000000"/>
            </w:tcBorders>
            <w:vAlign w:val="center"/>
          </w:tcPr>
          <w:p>
            <w:pPr>
              <w:pStyle w:val="TableContents"/>
              <w:bidi w:val="0"/>
              <w:spacing w:before="0" w:after="283"/>
              <w:jc w:val="left"/>
              <w:rPr>
                <w:b/>
              </w:rPr>
            </w:pPr>
            <w:r>
              <w:rPr>
                <w:b/>
              </w:rPr>
              <w:t>LEGAL OPINION ON MALAYSIAN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above matter and the proposed offering and listing of 1,250,000 Class A ordinary shares, par value US$0.0001 per share of Ultratrex Inc. (“</w:t>
      </w:r>
      <w:r>
        <w:rPr>
          <w:rFonts w:ascii="Times New Roman;Times;Serif" w:hAnsi="Times New Roman;Times;Serif"/>
          <w:b/>
          <w:i w:val="false"/>
          <w:caps w:val="false"/>
          <w:smallCaps w:val="false"/>
          <w:sz w:val="20"/>
        </w:rPr>
        <w:t>IPO Shares”</w:t>
      </w:r>
      <w:r>
        <w:rPr>
          <w:rFonts w:ascii="Times New Roman;Times;Serif" w:hAnsi="Times New Roman;Times;Serif"/>
          <w:b w:val="false"/>
          <w:i w:val="false"/>
          <w:caps w:val="false"/>
          <w:smallCaps w:val="false"/>
          <w:sz w:val="20"/>
        </w:rPr>
        <w:t>) on the Nasdaq Capital Market.</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15"/>
        <w:gridCol w:w="1205"/>
      </w:tblGrid>
      <w:tr>
        <w:trPr/>
        <w:tc>
          <w:tcPr>
            <w:tcW w:w="215" w:type="dxa"/>
            <w:tcBorders/>
            <w:vAlign w:val="center"/>
          </w:tcPr>
          <w:p>
            <w:pPr>
              <w:pStyle w:val="TableContents"/>
              <w:bidi w:val="0"/>
              <w:spacing w:before="0" w:after="283"/>
              <w:jc w:val="left"/>
              <w:rPr/>
            </w:pPr>
            <w:r>
              <w:rPr/>
              <w:t>1.</w:t>
            </w:r>
          </w:p>
        </w:tc>
        <w:tc>
          <w:tcPr>
            <w:tcW w:w="1205" w:type="dxa"/>
            <w:tcBorders/>
            <w:vAlign w:val="center"/>
          </w:tcPr>
          <w:p>
            <w:pPr>
              <w:pStyle w:val="TableContents"/>
              <w:bidi w:val="0"/>
              <w:spacing w:before="0" w:after="283"/>
              <w:jc w:val="left"/>
              <w:rPr/>
            </w:pPr>
            <w:r>
              <w:rPr/>
              <w:t>Background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t>Our firm, Enolil Loo is registered with the Malaysian Bar in accordance with Section 85(1) of the Malaysian Legal Profession Act, 1976. All our partners and lawyers are admitted to the High Court in Malaya and are qualified Malaysian law practitioners. We have been requested to issue this legal opinion (“</w:t>
            </w:r>
            <w:r>
              <w:rPr>
                <w:rFonts w:ascii="Times New Roman;Times;Serif" w:hAnsi="Times New Roman;Times;Serif"/>
                <w:b/>
              </w:rPr>
              <w:t>Opinion”</w:t>
            </w:r>
            <w:r>
              <w:rPr/>
              <w:t>) in our capacity as the Malaysian legal counsel to Ultratrex Inc, a company incorporated under the laws of Cayman Islands (“</w:t>
            </w:r>
            <w:r>
              <w:rPr>
                <w:rFonts w:ascii="Times New Roman;Times;Serif" w:hAnsi="Times New Roman;Times;Serif"/>
                <w:b/>
              </w:rPr>
              <w:t>Company”</w:t>
            </w:r>
            <w:r>
              <w:rPr/>
              <w:t>), in connection with the proposed initial public offering of the IPO Shares (“</w:t>
            </w:r>
            <w:r>
              <w:rPr>
                <w:rFonts w:ascii="Times New Roman;Times;Serif" w:hAnsi="Times New Roman;Times;Serif"/>
                <w:b/>
              </w:rPr>
              <w:t>Offering”</w:t>
            </w:r>
            <w:r>
              <w:rPr/>
              <w:t>) and the proposed listing of the same on Nasdaq Capital Market (“</w:t>
            </w:r>
            <w:r>
              <w:rPr>
                <w:rFonts w:ascii="Times New Roman;Times;Serif" w:hAnsi="Times New Roman;Times;Serif"/>
                <w:b/>
              </w:rPr>
              <w:t>Listing”</w:t>
            </w:r>
            <w:r>
              <w:rPr/>
              <w:t>).</w:t>
            </w:r>
          </w:p>
        </w:tc>
      </w:tr>
    </w:tbl>
    <w:p>
      <w:pPr>
        <w:pStyle w:val="TextBody"/>
        <w:bidi w:val="0"/>
        <w:spacing w:before="0" w:after="0"/>
        <w:ind w:left="0" w:right="0" w:hanging="69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This Opinion is given to the Company solely for its benefit in respect to: (a) the Offering, as further described in the Company’s registration statement on Form F-1 with Registration No. 333-290101, including all amendments and/or supplements thereto (“</w:t>
            </w:r>
            <w:r>
              <w:rPr>
                <w:rFonts w:ascii="Times New Roman;Times;Serif" w:hAnsi="Times New Roman;Times;Serif"/>
                <w:b/>
              </w:rPr>
              <w:t>Registration Statement”</w:t>
            </w:r>
            <w:r>
              <w:rPr/>
              <w:t>), filed by the Company with the U.S. Securities and Exchange Commission under the U.S. Securities Act of 1933, as amended, in relation to the Offering; and (b) the Listing.</w:t>
            </w:r>
          </w:p>
        </w:tc>
      </w:tr>
    </w:tbl>
    <w:p>
      <w:pPr>
        <w:pStyle w:val="TextBody"/>
        <w:bidi w:val="0"/>
        <w:spacing w:before="0" w:after="0"/>
        <w:ind w:left="0" w:right="0" w:hanging="719"/>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15"/>
        <w:gridCol w:w="2315"/>
      </w:tblGrid>
      <w:tr>
        <w:trPr/>
        <w:tc>
          <w:tcPr>
            <w:tcW w:w="215" w:type="dxa"/>
            <w:tcBorders/>
            <w:vAlign w:val="center"/>
          </w:tcPr>
          <w:p>
            <w:pPr>
              <w:pStyle w:val="TableContents"/>
              <w:bidi w:val="0"/>
              <w:spacing w:before="0" w:after="283"/>
              <w:jc w:val="left"/>
              <w:rPr/>
            </w:pPr>
            <w:r>
              <w:rPr/>
              <w:t>2.</w:t>
            </w:r>
          </w:p>
        </w:tc>
        <w:tc>
          <w:tcPr>
            <w:tcW w:w="2315" w:type="dxa"/>
            <w:tcBorders/>
            <w:vAlign w:val="center"/>
          </w:tcPr>
          <w:p>
            <w:pPr>
              <w:pStyle w:val="TableContents"/>
              <w:bidi w:val="0"/>
              <w:spacing w:before="0" w:after="283"/>
              <w:jc w:val="left"/>
              <w:rPr/>
            </w:pPr>
            <w:r>
              <w:rPr/>
              <w:t>Scope of Legal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t>This Opinion is only about the laws of general application in Malaysia as at the date hereof and is given on the basis that the Opinion will be governed by and construed in accordance with the laws and regulations of Malaysia.</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070" w:type="dxa"/>
        <w:jc w:val="left"/>
        <w:tblInd w:w="0" w:type="dxa"/>
        <w:tblLayout w:type="fixed"/>
        <w:tblCellMar>
          <w:top w:w="28" w:type="dxa"/>
          <w:left w:w="0" w:type="dxa"/>
          <w:bottom w:w="0" w:type="dxa"/>
          <w:right w:w="0" w:type="dxa"/>
        </w:tblCellMar>
      </w:tblPr>
      <w:tblGrid>
        <w:gridCol w:w="10070"/>
      </w:tblGrid>
      <w:tr>
        <w:trPr/>
        <w:tc>
          <w:tcPr>
            <w:tcW w:w="10070" w:type="dxa"/>
            <w:tcBorders>
              <w:top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i/>
                <w:sz w:val="20"/>
              </w:rPr>
              <w:t>Areas of Practice</w:t>
            </w:r>
            <w:r>
              <w:rPr>
                <w:rFonts w:ascii="Times New Roman;Times;Serif" w:hAnsi="Times New Roman;Times;Serif"/>
                <w:sz w:val="20"/>
              </w:rPr>
              <w:t xml:space="preserve"> </w:t>
              <w:br/>
            </w:r>
            <w:r>
              <w:rPr>
                <w:rFonts w:ascii="Times New Roman;Times;Serif" w:hAnsi="Times New Roman;Times;Serif"/>
                <w:i/>
                <w:sz w:val="20"/>
              </w:rPr>
              <w:t xml:space="preserve">Capital Markets • Mergers &amp; Acquisitions • Corporate &amp; Commercial • Banking &amp; Finance • Real Estate &amp; Trust </w:t>
            </w:r>
            <w:r>
              <w:rPr>
                <w:rFonts w:ascii="Times New Roman;Times;Serif" w:hAnsi="Times New Roman;Times;Serif"/>
                <w:b/>
                <w:i/>
                <w:sz w:val="20"/>
              </w:rPr>
              <w:t>Contact:</w:t>
            </w:r>
            <w:r>
              <w:rPr>
                <w:rFonts w:ascii="Times New Roman;Times;Serif" w:hAnsi="Times New Roman;Times;Serif"/>
                <w:sz w:val="20"/>
              </w:rPr>
              <w:t xml:space="preserve"> </w:t>
              <w:br/>
            </w:r>
            <w:r>
              <w:rPr>
                <w:rFonts w:ascii="Times New Roman;Times;Serif" w:hAnsi="Times New Roman;Times;Serif"/>
                <w:i/>
                <w:sz w:val="20"/>
              </w:rPr>
              <w:t xml:space="preserve">M-2-9 Plaza Damas 60 Jalan Sri Hartamas 1 Sri Hartamas 50480 Kuala Lumpur Malaysia </w:t>
              <w:br/>
              <w:t>telephone +603 6203 2381 fax +603 6203 2359 email excel@enolil-loo.com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3</w:t>
      </w:r>
    </w:p>
    <w:p>
      <w:pPr>
        <w:pStyle w:val="TextBody"/>
        <w:bidi w:val="0"/>
        <w:spacing w:before="0" w:after="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7" w:type="dxa"/>
            <w:tcBorders/>
            <w:vAlign w:val="center"/>
          </w:tcPr>
          <w:p>
            <w:pPr>
              <w:pStyle w:val="TableContents"/>
              <w:bidi w:val="0"/>
              <w:spacing w:before="0" w:after="283"/>
              <w:jc w:val="both"/>
              <w:rPr/>
            </w:pPr>
            <w:r>
              <w:rPr/>
              <w:t>We have made no investigation of, and do not express or imply any views on, the laws of any country other than Malaysia or on matters which are not related to the legal matters in Malaysia.</w:t>
            </w:r>
          </w:p>
        </w:tc>
      </w:tr>
    </w:tbl>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3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3350" w:type="dxa"/>
            <w:tcBorders/>
            <w:vAlign w:val="center"/>
          </w:tcPr>
          <w:p>
            <w:pPr>
              <w:pStyle w:val="TableContents"/>
              <w:bidi w:val="0"/>
              <w:spacing w:before="0" w:after="283"/>
              <w:jc w:val="left"/>
              <w:rPr/>
            </w:pPr>
            <w:r>
              <w:rPr/>
              <w:t>Without prejudice to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75"/>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890" w:type="dxa"/>
            <w:tcBorders/>
            <w:vAlign w:val="center"/>
          </w:tcPr>
          <w:p>
            <w:pPr>
              <w:pStyle w:val="TableContents"/>
              <w:bidi w:val="0"/>
              <w:spacing w:before="0" w:after="283"/>
              <w:jc w:val="left"/>
              <w:rPr/>
            </w:pPr>
            <w:r>
              <w:rPr/>
              <w:t>We express no opinion on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23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3590" w:type="dxa"/>
            <w:tcBorders/>
            <w:vAlign w:val="center"/>
          </w:tcPr>
          <w:p>
            <w:pPr>
              <w:pStyle w:val="TableContents"/>
              <w:bidi w:val="0"/>
              <w:spacing w:before="0" w:after="283"/>
              <w:jc w:val="left"/>
              <w:rPr/>
            </w:pPr>
            <w:r>
              <w:rPr/>
              <w:t>Any taxation laws of any jurisdiction;</w:t>
            </w:r>
          </w:p>
        </w:tc>
      </w:tr>
    </w:tbl>
    <w:p>
      <w:pPr>
        <w:pStyle w:val="TextBody"/>
        <w:bidi w:val="0"/>
        <w:spacing w:before="0" w:after="0"/>
        <w:ind w:left="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The effect of any systems of law (other than Malaysian law) even in cases where, under Malaysian Law, any foreign law should be applied, and we therefore assume that any applicable law (other than Malaysian law) would not affect or qualify the opinion as set out below; and</w:t>
            </w:r>
          </w:p>
        </w:tc>
      </w:tr>
    </w:tbl>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35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4340" w:type="dxa"/>
            <w:tcBorders/>
            <w:vAlign w:val="center"/>
          </w:tcPr>
          <w:p>
            <w:pPr>
              <w:pStyle w:val="TableContents"/>
              <w:bidi w:val="0"/>
              <w:spacing w:before="0" w:after="283"/>
              <w:jc w:val="left"/>
              <w:rPr/>
            </w:pPr>
            <w:r>
              <w:rPr/>
              <w:t>On matters of fact and/or commercial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This opinion speaks as of the date hereof, no obligation is assumed to update this Opinion or to inform any person of any changes of law or other related matters (including matters of fact) coming to our knowledge and occurring after the date hereof, which may, affect this Opinion in any way.</w:t>
            </w:r>
          </w:p>
        </w:tc>
      </w:tr>
    </w:tbl>
    <w:p>
      <w:pPr>
        <w:pStyle w:val="TextBody"/>
        <w:bidi w:val="0"/>
        <w:spacing w:before="0" w:after="0"/>
        <w:ind w:left="0" w:right="0" w:hanging="719"/>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pPr>
            <w:r>
              <w:rPr/>
              <w:t>3.</w:t>
            </w:r>
          </w:p>
        </w:tc>
        <w:tc>
          <w:tcPr>
            <w:tcW w:w="815" w:type="dxa"/>
            <w:tcBorders/>
            <w:vAlign w:val="center"/>
          </w:tcPr>
          <w:p>
            <w:pPr>
              <w:pStyle w:val="TableContents"/>
              <w:bidi w:val="0"/>
              <w:spacing w:before="0" w:after="283"/>
              <w:jc w:val="left"/>
              <w:rPr/>
            </w:pPr>
            <w:r>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found in the Registration Statement under the headings ‘Risk Factors’, ‘Enforceability of Civil Liabilities’, ‘Business’ and ‘Regulatory Environment,’ insofar as such statements describe, pertain or summarize Malaysian laws or proceedings, are true and accurate in all material respects, and fairly present and summarize in all material respects the said Malaysian laws or proceedings without any material omissions that could render them misleading. The disclosures featuring our viewpoints in the Registration Statement under the ‘Risk Factors’, ‘Enforceability of Civil Liabilities’, ‘Business’ and ‘Regulatory Environment’ sections, to the extent that they pertain to Malaysian laws are indeed expressions of our professional opinions.</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pPr>
            <w:r>
              <w:rPr/>
              <w:t>4.</w:t>
            </w:r>
          </w:p>
        </w:tc>
        <w:tc>
          <w:tcPr>
            <w:tcW w:w="1355" w:type="dxa"/>
            <w:tcBorders/>
            <w:vAlign w:val="center"/>
          </w:tcPr>
          <w:p>
            <w:pPr>
              <w:pStyle w:val="TableContents"/>
              <w:bidi w:val="0"/>
              <w:spacing w:before="0" w:after="283"/>
              <w:jc w:val="left"/>
              <w:rPr/>
            </w:pPr>
            <w:r>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the following qualifications:</w:t>
      </w:r>
    </w:p>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We have relied on the truth, accuracy and completeness of factual statements or representations provided to us by the directors, officers, or representatives of Ultratrex Machinery Sdn Bhd (“</w:t>
            </w:r>
            <w:r>
              <w:rPr>
                <w:rFonts w:ascii="Times New Roman;Times;Serif" w:hAnsi="Times New Roman;Times;Serif"/>
                <w:b/>
              </w:rPr>
              <w:t>Ultratrex Malaysia”</w:t>
            </w:r>
            <w:r>
              <w:rPr/>
              <w:t>) as well as the Company, including their consultants, advisers and service providers. These statements may have been conveyed orally or in writing and pertain to matters concerning both the Company and Ultratrex Malaysia;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350" w:type="dxa"/>
        <w:jc w:val="left"/>
        <w:tblInd w:w="0" w:type="dxa"/>
        <w:tblLayout w:type="fixed"/>
        <w:tblCellMar>
          <w:top w:w="28" w:type="dxa"/>
          <w:left w:w="0" w:type="dxa"/>
          <w:bottom w:w="0" w:type="dxa"/>
          <w:right w:w="0" w:type="dxa"/>
        </w:tblCellMar>
      </w:tblPr>
      <w:tblGrid>
        <w:gridCol w:w="9350"/>
      </w:tblGrid>
      <w:tr>
        <w:trPr/>
        <w:tc>
          <w:tcPr>
            <w:tcW w:w="9350" w:type="dxa"/>
            <w:tcBorders>
              <w:top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i/>
                <w:sz w:val="20"/>
              </w:rPr>
              <w:t>Areas of Practice</w:t>
              <w:br/>
              <w:t> </w:t>
            </w:r>
            <w:r>
              <w:rPr>
                <w:rFonts w:ascii="Times New Roman;Times;Serif" w:hAnsi="Times New Roman;Times;Serif"/>
                <w:i/>
                <w:sz w:val="20"/>
              </w:rPr>
              <w:t xml:space="preserve">Capital Markets • Mergers &amp; Acquisitions • Corporate &amp; Commercial • Banking &amp; Finance • Real Estate &amp; Trust </w:t>
              <w:br/>
            </w:r>
            <w:r>
              <w:rPr>
                <w:rFonts w:ascii="Times New Roman;Times;Serif" w:hAnsi="Times New Roman;Times;Serif"/>
                <w:b/>
                <w:i/>
                <w:sz w:val="20"/>
              </w:rPr>
              <w:t xml:space="preserve">Contact: </w:t>
              <w:br/>
            </w:r>
            <w:r>
              <w:rPr>
                <w:rFonts w:ascii="Times New Roman;Times;Serif" w:hAnsi="Times New Roman;Times;Serif"/>
                <w:i/>
                <w:sz w:val="20"/>
              </w:rPr>
              <w:t>M-2-9 Plaza Damas 60 Jalan Sri Hartamas 1 Sri Hartamas 50480 Kuala Lumpur Malaysia</w:t>
              <w:br/>
              <w:t>telephone +603 6203 2381 fax +603 6203 2359 email excel@enolil-loo.com website www.enolil-loo.com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This Opinion is strictly limited to the matters expressly stated herein and does not extend by implication to any other matters.</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15"/>
        <w:gridCol w:w="890"/>
      </w:tblGrid>
      <w:tr>
        <w:trPr/>
        <w:tc>
          <w:tcPr>
            <w:tcW w:w="215" w:type="dxa"/>
            <w:tcBorders/>
            <w:vAlign w:val="center"/>
          </w:tcPr>
          <w:p>
            <w:pPr>
              <w:pStyle w:val="TableContents"/>
              <w:bidi w:val="0"/>
              <w:spacing w:before="0" w:after="283"/>
              <w:jc w:val="left"/>
              <w:rPr/>
            </w:pPr>
            <w:r>
              <w:rPr/>
              <w:t>5.</w:t>
            </w:r>
          </w:p>
        </w:tc>
        <w:tc>
          <w:tcPr>
            <w:tcW w:w="890" w:type="dxa"/>
            <w:tcBorders/>
            <w:vAlign w:val="center"/>
          </w:tcPr>
          <w:p>
            <w:pPr>
              <w:pStyle w:val="TableContents"/>
              <w:bidi w:val="0"/>
              <w:spacing w:before="0" w:after="283"/>
              <w:jc w:val="left"/>
              <w:rPr/>
            </w:pPr>
            <w:r>
              <w:rPr/>
              <w:t>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specifically intended for the Company’s exclusive benefit and is applicable solely in the context of the Offering. It is crucial to understand that this Opinion:</w:t>
      </w:r>
    </w:p>
    <w:p>
      <w:pPr>
        <w:pStyle w:val="TextBody"/>
        <w:bidi w:val="0"/>
        <w:spacing w:before="0" w:after="0"/>
        <w:ind w:left="0" w:right="0" w:hanging="7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both"/>
              <w:rPr/>
            </w:pPr>
            <w:r>
              <w:rPr/>
              <w:t>should not be relied upon, or utilised by any other individual and/or entity for any purpose beyond what is outlined in paragraph 6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this Opinion must not be disclosed to any person, except the Company’s affiliates and/or legal advisors. It should not be quoted or referenced in any public document, submitted to any government, regulatory agency, stock exchange, or any other individual without our explicit prior written consent, except as outlined in paragraph 7 below.</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15"/>
        <w:gridCol w:w="830"/>
      </w:tblGrid>
      <w:tr>
        <w:trPr/>
        <w:tc>
          <w:tcPr>
            <w:tcW w:w="215" w:type="dxa"/>
            <w:tcBorders/>
            <w:vAlign w:val="center"/>
          </w:tcPr>
          <w:p>
            <w:pPr>
              <w:pStyle w:val="TableContents"/>
              <w:bidi w:val="0"/>
              <w:spacing w:before="0" w:after="283"/>
              <w:jc w:val="left"/>
              <w:rPr/>
            </w:pPr>
            <w:r>
              <w:rPr/>
              <w:t>6.</w:t>
            </w:r>
          </w:p>
        </w:tc>
        <w:tc>
          <w:tcPr>
            <w:tcW w:w="830" w:type="dxa"/>
            <w:tcBorders/>
            <w:vAlign w:val="center"/>
          </w:tcPr>
          <w:p>
            <w:pPr>
              <w:pStyle w:val="TableContents"/>
              <w:bidi w:val="0"/>
              <w:spacing w:before="0" w:after="283"/>
              <w:jc w:val="left"/>
              <w:rPr/>
            </w:pPr>
            <w:r>
              <w:rPr/>
              <w:t>Liability</w:t>
            </w:r>
          </w:p>
        </w:tc>
      </w:tr>
    </w:tbl>
    <w:p>
      <w:pPr>
        <w:pStyle w:val="TextBody"/>
        <w:bidi w:val="0"/>
        <w:spacing w:before="0" w:after="0"/>
        <w:ind w:left="0"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7" w:type="dxa"/>
            <w:tcBorders/>
            <w:vAlign w:val="center"/>
          </w:tcPr>
          <w:p>
            <w:pPr>
              <w:pStyle w:val="TableContents"/>
              <w:bidi w:val="0"/>
              <w:spacing w:before="0" w:after="283"/>
              <w:jc w:val="both"/>
              <w:rPr/>
            </w:pPr>
            <w:r>
              <w:rPr/>
              <w:t>For the avoidance of doubt, this Opinion is not to be relied upon by anyone apart from the Company. We do not assume any responsibility and/or liability towards any other individual and/or entity, even if the Company has shared a copy of our Opinion with another person, as long as it was done without our prior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7" w:type="dxa"/>
            <w:tcBorders/>
            <w:vAlign w:val="center"/>
          </w:tcPr>
          <w:p>
            <w:pPr>
              <w:pStyle w:val="TableContents"/>
              <w:bidi w:val="0"/>
              <w:spacing w:before="0" w:after="283"/>
              <w:jc w:val="both"/>
              <w:rPr/>
            </w:pPr>
            <w:r>
              <w:rPr/>
              <w:t>Nevertheless, subject to the constraints imposed by applicable laws and regulations, the Company is permitted to rely on this Opinion under the condition that our total aggregate liability concerning the matters discussed in this Opinion is restricted to the total net fees we received in connection with the Listing.</w:t>
            </w:r>
          </w:p>
        </w:tc>
      </w:tr>
    </w:tbl>
    <w:p>
      <w:pPr>
        <w:pStyle w:val="TextBody"/>
        <w:bidi w:val="0"/>
        <w:spacing w:before="0" w:after="0"/>
        <w:ind w:left="0" w:right="0" w:hanging="719"/>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pPr>
            <w:r>
              <w:rPr/>
              <w:t>7.</w:t>
            </w:r>
          </w:p>
        </w:tc>
        <w:tc>
          <w:tcPr>
            <w:tcW w:w="815" w:type="dxa"/>
            <w:tcBorders/>
            <w:vAlign w:val="center"/>
          </w:tcPr>
          <w:p>
            <w:pPr>
              <w:pStyle w:val="TableContents"/>
              <w:bidi w:val="0"/>
              <w:spacing w:before="0" w:after="283"/>
              <w:jc w:val="left"/>
              <w:rPr/>
            </w:pPr>
            <w:r>
              <w:rPr/>
              <w:t>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utilisation of this Opinion in the Registration Statement, and we also authorise its filing as an exhibit therein. In addition, we consent to the inclusion of references to our name within the said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62000" cy="58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2"/>
                    <a:stretch>
                      <a:fillRect/>
                    </a:stretch>
                  </pic:blipFill>
                  <pic:spPr bwMode="auto">
                    <a:xfrm>
                      <a:off x="0" y="0"/>
                      <a:ext cx="762000"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Selma Enolil Mustapha </w:t>
        <w:br/>
        <w:t>Partner, ENOLIL LOO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350" w:type="dxa"/>
        <w:jc w:val="left"/>
        <w:tblInd w:w="0" w:type="dxa"/>
        <w:tblLayout w:type="fixed"/>
        <w:tblCellMar>
          <w:top w:w="28" w:type="dxa"/>
          <w:left w:w="0" w:type="dxa"/>
          <w:bottom w:w="0" w:type="dxa"/>
          <w:right w:w="0" w:type="dxa"/>
        </w:tblCellMar>
      </w:tblPr>
      <w:tblGrid>
        <w:gridCol w:w="9350"/>
      </w:tblGrid>
      <w:tr>
        <w:trPr/>
        <w:tc>
          <w:tcPr>
            <w:tcW w:w="9350" w:type="dxa"/>
            <w:tcBorders>
              <w:top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i/>
                <w:sz w:val="20"/>
              </w:rPr>
              <w:t>Areas of Practice</w:t>
              <w:br/>
              <w:t> </w:t>
            </w:r>
            <w:r>
              <w:rPr>
                <w:rFonts w:ascii="Times New Roman;Times;Serif" w:hAnsi="Times New Roman;Times;Serif"/>
                <w:i/>
                <w:sz w:val="20"/>
              </w:rPr>
              <w:t xml:space="preserve">Capital Markets • Mergers &amp; Acquisitions • Corporate &amp; Commercial • Banking &amp; Finance • Real Estate &amp; Trust </w:t>
              <w:br/>
            </w:r>
            <w:r>
              <w:rPr>
                <w:rFonts w:ascii="Times New Roman;Times;Serif" w:hAnsi="Times New Roman;Times;Serif"/>
                <w:b/>
                <w:i/>
                <w:sz w:val="20"/>
              </w:rPr>
              <w:t xml:space="preserve">Contact: </w:t>
              <w:br/>
            </w:r>
            <w:r>
              <w:rPr>
                <w:rFonts w:ascii="Times New Roman;Times;Serif" w:hAnsi="Times New Roman;Times;Serif"/>
                <w:i/>
                <w:sz w:val="20"/>
              </w:rPr>
              <w:t>M-2-9 Plaza Damas 60 Jalan Sri Hartamas 1 Sri Hartamas 50480 Kuala Lumpur Malaysia</w:t>
              <w:br/>
              <w:t>telephone +603 6203 2381 fax +603 6203 2359 email excel@enolil-loo.com website www.enolil-loo.com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22242710ex99-13_ultratrex.htm"/>
      <w:bookmarkStart w:id="9" w:name="ksea022242710ex9913_ultratrex"/>
      <w:bookmarkEnd w:id="8"/>
      <w:bookmarkEnd w:id="9"/>
      <w:r>
        <w:rPr>
          <w:rFonts w:ascii="Times New Roman;Times;Serif" w:hAnsi="Times New Roman;Times;Serif"/>
          <w:b/>
          <w:i w:val="false"/>
          <w:caps w:val="false"/>
          <w:smallCaps w:val="false"/>
          <w:sz w:val="20"/>
        </w:rPr>
        <w:t>Exhibit 99.13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66825"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3"/>
                    <a:stretch>
                      <a:fillRect/>
                    </a:stretch>
                  </pic:blipFill>
                  <pic:spPr bwMode="auto">
                    <a:xfrm>
                      <a:off x="0" y="0"/>
                      <a:ext cx="1266825"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17 September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ref.: 0532/CNF-24001/17/IX/2025/EN-CD-NAH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Ultratrex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Orchard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05-02, Midpoint Orchard </w:t>
        <w:br/>
        <w:t>Singapore 238852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6235 3388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pPr>
            <w:r>
              <w:rPr/>
              <w:t>Re:</w:t>
            </w:r>
          </w:p>
        </w:tc>
        <w:tc>
          <w:tcPr>
            <w:tcW w:w="9860" w:type="dxa"/>
            <w:tcBorders/>
            <w:vAlign w:val="center"/>
          </w:tcPr>
          <w:p>
            <w:pPr>
              <w:pStyle w:val="TableContents"/>
              <w:bidi w:val="0"/>
              <w:spacing w:before="0" w:after="283"/>
              <w:jc w:val="both"/>
              <w:rPr/>
            </w:pPr>
            <w:r>
              <w:rPr/>
              <w:t>Legal Opinion on Indonesian Law in Connection with Proposed Offering and Listing of Ultratrex Inc. (“</w:t>
            </w:r>
            <w:r>
              <w:rPr>
                <w:b/>
              </w:rPr>
              <w:t>Company</w:t>
            </w:r>
            <w:r>
              <w:rPr/>
              <w:t>”) on The 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counsellors at law qualified to practice law in Indonesia and are acting as independent legal counsel to you. We have been asked to issue this legal opinion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our capacity as Indonesian legal counsel to the Company, a company incorporated under the laws of the Cayman Islands, in relation to the proposed initial public offering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1,250,000 class A shares of the Company and the proposed listing of the shares on the Nasdaq Capital Market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to the Company solely for its benefit in connection with (i) the Offering, as further described in the Company’s registration statement on Form F-1 with Registration No. 333- 290101, including all amendments and/or supplements thereto, publicly filed with the Securities and Exchange Commission on 8 September 2025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(ii) the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rendering this Opinion with respect to the laws of Indonesia. As used herein, the term “Indonesian law” or “laws of Indonesia” means any law, regulation, decree or other published legislative directive of the central government of the Republic of Indonesia, which is published and available to the public as of the date hereof. We have made no investigation of, and do not express or imply any views on, the laws of any country other than Indonesia or on matters which do not relate to legal matters in Indonesia.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this Opinion, we have,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examined and relied upon the documents (made available to us in softcopy) that were mentioned under the captions “Enforceability of Civil Liabilities”, “Regulatory Environment”, “Business”, and “Risk Factors” of the Registration Statement (“</w:t>
      </w:r>
      <w:r>
        <w:rPr>
          <w:rFonts w:ascii="Times New Roman;Times;Serif" w:hAnsi="Times New Roman;Times;Serif"/>
          <w:b/>
          <w:i w:val="false"/>
          <w:caps w:val="false"/>
          <w:smallCaps w:val="false"/>
          <w:sz w:val="20"/>
        </w:rPr>
        <w:t>Supporting Documents</w:t>
      </w:r>
      <w:r>
        <w:rPr>
          <w:rFonts w:ascii="Times New Roman;Times;Serif" w:hAnsi="Times New Roman;Times;Serif"/>
          <w:b w:val="false"/>
          <w:i w:val="false"/>
          <w:caps w:val="false"/>
          <w:smallCaps w:val="false"/>
          <w:sz w:val="20"/>
        </w:rPr>
        <w:t>”) as we have deemed necessary or appropriate for the purpose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Opinion expressed herein, we have, without any independent investigation or verification, assumed: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the genuineness of all signatures, the authenticity of all documents submitted to us as originals and the conformity to the originals of all documents submitted to us as copies;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(ii)</w:t>
            </w:r>
          </w:p>
        </w:tc>
        <w:tc>
          <w:tcPr>
            <w:tcW w:w="9962" w:type="dxa"/>
            <w:tcBorders/>
            <w:vAlign w:val="center"/>
          </w:tcPr>
          <w:p>
            <w:pPr>
              <w:pStyle w:val="TableContents"/>
              <w:bidi w:val="0"/>
              <w:spacing w:before="0" w:after="283"/>
              <w:jc w:val="both"/>
              <w:rPr/>
            </w:pPr>
            <w:r>
              <w:rPr/>
              <w:t>that the Supporting Documents are complete, correct and accurate, that any resolutions, or licenses or permits have been validly passed, issued and have not been revoked, terminated, amended, supplemented, replaced or declared null and void and any agreements have been duly authorized and validly executed, and are enforceable in accordance with their terms and have not been amended, supplemented, terminated, rescinded or declared null and void by a court or other competent institution since the date of their execution;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676775" cy="323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4"/>
                    <a:stretch>
                      <a:fillRect/>
                    </a:stretch>
                  </pic:blipFill>
                  <pic:spPr bwMode="auto">
                    <a:xfrm>
                      <a:off x="0" y="0"/>
                      <a:ext cx="4676775" cy="32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266825"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5"/>
                    <a:stretch>
                      <a:fillRect/>
                    </a:stretch>
                  </pic:blipFill>
                  <pic:spPr bwMode="auto">
                    <a:xfrm>
                      <a:off x="0" y="0"/>
                      <a:ext cx="1266825" cy="5429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624" w:type="dxa"/>
        <w:jc w:val="left"/>
        <w:tblInd w:w="0" w:type="dxa"/>
        <w:tblLayout w:type="fixed"/>
        <w:tblCellMar>
          <w:top w:w="0" w:type="dxa"/>
          <w:left w:w="0" w:type="dxa"/>
          <w:bottom w:w="0" w:type="dxa"/>
          <w:right w:w="0" w:type="dxa"/>
        </w:tblCellMar>
      </w:tblPr>
      <w:tblGrid>
        <w:gridCol w:w="1525"/>
        <w:gridCol w:w="99"/>
      </w:tblGrid>
      <w:tr>
        <w:trPr/>
        <w:tc>
          <w:tcPr>
            <w:tcW w:w="1525" w:type="dxa"/>
            <w:tcBorders/>
            <w:vAlign w:val="center"/>
          </w:tcPr>
          <w:p>
            <w:pPr>
              <w:pStyle w:val="TableContents"/>
              <w:bidi w:val="0"/>
              <w:spacing w:before="0" w:after="283"/>
              <w:jc w:val="left"/>
              <w:rPr>
                <w:sz w:val="20"/>
              </w:rPr>
            </w:pPr>
            <w:r>
              <w:rPr>
                <w:sz w:val="20"/>
              </w:rPr>
              <w:t xml:space="preserve">Ultratrex Inc. </w:t>
            </w:r>
          </w:p>
        </w:tc>
        <w:tc>
          <w:tcPr>
            <w:tcW w:w="99" w:type="dxa"/>
            <w:tcBorders/>
            <w:vAlign w:val="center"/>
          </w:tcPr>
          <w:p>
            <w:pPr>
              <w:pStyle w:val="TableContents"/>
              <w:bidi w:val="0"/>
              <w:spacing w:before="0" w:after="283"/>
              <w:jc w:val="left"/>
              <w:rPr/>
            </w:pPr>
            <w:r>
              <w:rPr/>
              <w:t> </w:t>
            </w:r>
          </w:p>
        </w:tc>
      </w:tr>
      <w:tr>
        <w:trPr/>
        <w:tc>
          <w:tcPr>
            <w:tcW w:w="152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624" w:type="dxa"/>
            <w:gridSpan w:val="2"/>
            <w:tcBorders>
              <w:bottom w:val="single" w:sz="12" w:space="0" w:color="000000"/>
            </w:tcBorders>
            <w:tcMar>
              <w:bottom w:w="40" w:type="dxa"/>
            </w:tcMar>
            <w:vAlign w:val="center"/>
          </w:tcPr>
          <w:p>
            <w:pPr>
              <w:pStyle w:val="TableContents"/>
              <w:bidi w:val="0"/>
              <w:spacing w:before="0" w:after="283"/>
              <w:jc w:val="right"/>
              <w:rPr>
                <w:sz w:val="20"/>
              </w:rPr>
            </w:pPr>
            <w:r>
              <w:rPr>
                <w:sz w:val="20"/>
              </w:rPr>
              <w:t>17 September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(iii)</w:t>
            </w:r>
          </w:p>
        </w:tc>
        <w:tc>
          <w:tcPr>
            <w:tcW w:w="9897" w:type="dxa"/>
            <w:tcBorders/>
            <w:vAlign w:val="center"/>
          </w:tcPr>
          <w:p>
            <w:pPr>
              <w:pStyle w:val="TableContents"/>
              <w:bidi w:val="0"/>
              <w:spacing w:before="0" w:after="283"/>
              <w:jc w:val="both"/>
              <w:rPr/>
            </w:pPr>
            <w:r>
              <w:rPr/>
              <w:t>that the deeds of incorporation of PT Ultratrex Indonesia (“</w:t>
            </w:r>
            <w:r>
              <w:rPr>
                <w:b/>
              </w:rPr>
              <w:t>PT UI</w:t>
            </w:r>
            <w:r>
              <w:rPr/>
              <w:t>”) and PT Ultratrex Machinery Indonesia (“</w:t>
            </w:r>
            <w:r>
              <w:rPr>
                <w:b/>
              </w:rPr>
              <w:t>PT UMI</w:t>
            </w:r>
            <w:r>
              <w:rPr/>
              <w:t>”) (hereinafter collectively referred to as the “</w:t>
            </w:r>
            <w:r>
              <w:rPr>
                <w:b/>
              </w:rPr>
              <w:t>Indonesian Companies</w:t>
            </w:r>
            <w:r>
              <w:rPr/>
              <w:t>”), have been passed by a duly authorized and licensed notary, and that there were no defects in the incorporation on the basis of which a court might dissolve the Indonesian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283"/>
              <w:jc w:val="both"/>
              <w:rPr/>
            </w:pPr>
            <w:r>
              <w:rPr/>
              <w:t>that all factual matters, statements and other results of our investigation relied upon or assumed herein were true and complete on the date of the execution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(v)</w:t>
            </w:r>
          </w:p>
        </w:tc>
        <w:tc>
          <w:tcPr>
            <w:tcW w:w="9956" w:type="dxa"/>
            <w:tcBorders/>
            <w:vAlign w:val="center"/>
          </w:tcPr>
          <w:p>
            <w:pPr>
              <w:pStyle w:val="TableContents"/>
              <w:bidi w:val="0"/>
              <w:spacing w:before="0" w:after="283"/>
              <w:jc w:val="both"/>
              <w:rPr/>
            </w:pPr>
            <w:r>
              <w:rPr/>
              <w:t>that no liquidation, bankruptcy, winding up, suspension of payments or petitions have been presented nor winding up orders were made, and no resolutions have been passed for the winding up, bankruptcy, suspension of payments or liquidation of the Indonesian Companies and no receiver or liquidator has been appointed to or for the Indonesian Companies; and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(vi)</w:t>
            </w:r>
          </w:p>
        </w:tc>
        <w:tc>
          <w:tcPr>
            <w:tcW w:w="9846" w:type="dxa"/>
            <w:tcBorders/>
            <w:vAlign w:val="center"/>
          </w:tcPr>
          <w:p>
            <w:pPr>
              <w:pStyle w:val="TableContents"/>
              <w:bidi w:val="0"/>
              <w:spacing w:before="0" w:after="283"/>
              <w:jc w:val="both"/>
              <w:rPr/>
            </w:pPr>
            <w:r>
              <w:rPr/>
              <w:t>that the Registration Statement has not been amended, changed or supplemented since the date of its execution.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considered the above and subject to the qualifications and limitations stated hereafter and having regard to the applicable laws of Indonesia (to the extent published), we are pleased to advise that, as of the date of this Opinion we are of the opinion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set forth in the Registration Statement under the captions “Enforceability of Civil Liabilities”, “Regulatory Environment”, “Business”, and “Risk Factors” in each case insofar as such statements describe or summarize Indonesian laws or the Indonesian Companies referred to therein, are true and accurate in all material respects, and fairly present and summarize in all material respects the Indonesian laws or the Indonesian Companies referred to therein, and nothing has been omitted from such statements, which would make the same misleading in any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subject to the following qualifications: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both"/>
              <w:rPr/>
            </w:pPr>
            <w:r>
              <w:rPr/>
              <w:t>We are counsellors at law in Indonesia and are not experts in or qualified to render an opinion on the laws and regulations of any other jurisdiction than that of Indonesia. Accordingly, we have in the foregoing expressed our Opinion only as to the law of Indonesia in force on the date hereof. We express no opinion on tax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pPr>
            <w:r>
              <w:rPr/>
              <w:t>(B)</w:t>
            </w:r>
          </w:p>
        </w:tc>
        <w:tc>
          <w:tcPr>
            <w:tcW w:w="9874" w:type="dxa"/>
            <w:tcBorders/>
            <w:vAlign w:val="center"/>
          </w:tcPr>
          <w:p>
            <w:pPr>
              <w:pStyle w:val="TableContents"/>
              <w:bidi w:val="0"/>
              <w:spacing w:before="0" w:after="283"/>
              <w:jc w:val="both"/>
              <w:rPr/>
            </w:pPr>
            <w:r>
              <w:rPr/>
              <w:t>Our Opinion is limited only to the Registration Statement and does not extend to any other party and documents contemplated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283"/>
              <w:jc w:val="both"/>
              <w:rPr/>
            </w:pPr>
            <w:r>
              <w:rPr/>
              <w:t>Our Opinion only speaks to laws and regulations in effect on the date hereof and we do not express any opinion on events or circumstances that may arise in the future. As is usual in Indonesia, legislation may establish broad principles of regulation, leaving details to be stipulated in implementing regulations, and in such cases, the Opinion are based only on the regulations and self-executing provisions of such regulations in effect on the date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66825"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6"/>
                    <a:stretch>
                      <a:fillRect/>
                    </a:stretch>
                  </pic:blipFill>
                  <pic:spPr bwMode="auto">
                    <a:xfrm>
                      <a:off x="0" y="0"/>
                      <a:ext cx="1266825" cy="5429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624" w:type="dxa"/>
        <w:jc w:val="left"/>
        <w:tblInd w:w="0" w:type="dxa"/>
        <w:tblLayout w:type="fixed"/>
        <w:tblCellMar>
          <w:top w:w="0" w:type="dxa"/>
          <w:left w:w="0" w:type="dxa"/>
          <w:bottom w:w="0" w:type="dxa"/>
          <w:right w:w="0" w:type="dxa"/>
        </w:tblCellMar>
      </w:tblPr>
      <w:tblGrid>
        <w:gridCol w:w="1525"/>
        <w:gridCol w:w="99"/>
      </w:tblGrid>
      <w:tr>
        <w:trPr/>
        <w:tc>
          <w:tcPr>
            <w:tcW w:w="1525" w:type="dxa"/>
            <w:tcBorders/>
            <w:vAlign w:val="center"/>
          </w:tcPr>
          <w:p>
            <w:pPr>
              <w:pStyle w:val="TableContents"/>
              <w:bidi w:val="0"/>
              <w:spacing w:before="0" w:after="283"/>
              <w:jc w:val="left"/>
              <w:rPr>
                <w:sz w:val="20"/>
              </w:rPr>
            </w:pPr>
            <w:r>
              <w:rPr>
                <w:sz w:val="20"/>
              </w:rPr>
              <w:t xml:space="preserve">Ultratrex Inc. </w:t>
            </w:r>
          </w:p>
        </w:tc>
        <w:tc>
          <w:tcPr>
            <w:tcW w:w="99" w:type="dxa"/>
            <w:tcBorders/>
            <w:vAlign w:val="center"/>
          </w:tcPr>
          <w:p>
            <w:pPr>
              <w:pStyle w:val="TableContents"/>
              <w:bidi w:val="0"/>
              <w:spacing w:before="0" w:after="283"/>
              <w:jc w:val="left"/>
              <w:rPr/>
            </w:pPr>
            <w:r>
              <w:rPr/>
              <w:t> </w:t>
            </w:r>
          </w:p>
        </w:tc>
      </w:tr>
      <w:tr>
        <w:trPr/>
        <w:tc>
          <w:tcPr>
            <w:tcW w:w="152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624" w:type="dxa"/>
            <w:gridSpan w:val="2"/>
            <w:tcBorders>
              <w:bottom w:val="single" w:sz="12" w:space="0" w:color="000000"/>
            </w:tcBorders>
            <w:tcMar>
              <w:bottom w:w="40" w:type="dxa"/>
            </w:tcMar>
            <w:vAlign w:val="center"/>
          </w:tcPr>
          <w:p>
            <w:pPr>
              <w:pStyle w:val="TableContents"/>
              <w:bidi w:val="0"/>
              <w:spacing w:before="0" w:after="283"/>
              <w:jc w:val="right"/>
              <w:rPr>
                <w:sz w:val="20"/>
              </w:rPr>
            </w:pPr>
            <w:r>
              <w:rPr>
                <w:sz w:val="20"/>
              </w:rPr>
              <w:t>17 September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(D)</w:t>
            </w:r>
          </w:p>
        </w:tc>
        <w:tc>
          <w:tcPr>
            <w:tcW w:w="9892" w:type="dxa"/>
            <w:tcBorders/>
            <w:vAlign w:val="center"/>
          </w:tcPr>
          <w:p>
            <w:pPr>
              <w:pStyle w:val="TableContents"/>
              <w:bidi w:val="0"/>
              <w:spacing w:before="0" w:after="283"/>
              <w:jc w:val="both"/>
              <w:rPr/>
            </w:pPr>
            <w:r>
              <w:rPr/>
              <w:t>We make no representation that we have independently verified the accuracy, completeness or fairness of such statements (except as aforesaid). We express no view or belief on the financial statements or as to any of the financial, accounting and auditing data contained in the Registration Statement.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(E)</w:t>
            </w:r>
          </w:p>
        </w:tc>
        <w:tc>
          <w:tcPr>
            <w:tcW w:w="9915" w:type="dxa"/>
            <w:tcBorders/>
            <w:vAlign w:val="center"/>
          </w:tcPr>
          <w:p>
            <w:pPr>
              <w:pStyle w:val="TableContents"/>
              <w:bidi w:val="0"/>
              <w:spacing w:before="0" w:after="283"/>
              <w:jc w:val="both"/>
              <w:rPr/>
            </w:pPr>
            <w:r>
              <w:rPr/>
              <w:t>Our Opinion does not address any statements or assumptions regarding future performance, market conditions, or other forward-looking statements included in the “Risk Factors” and “Business” sections of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(F)</w:t>
            </w:r>
          </w:p>
        </w:tc>
        <w:tc>
          <w:tcPr>
            <w:tcW w:w="9931" w:type="dxa"/>
            <w:tcBorders/>
            <w:vAlign w:val="center"/>
          </w:tcPr>
          <w:p>
            <w:pPr>
              <w:pStyle w:val="TableContents"/>
              <w:bidi w:val="0"/>
              <w:spacing w:before="0" w:after="283"/>
              <w:jc w:val="both"/>
              <w:rPr/>
            </w:pPr>
            <w:r>
              <w:rPr/>
              <w:t>The Opinion provided regarding the “Risk Factors” section under the Registration Statement is limited in scope and should be understood as addressing only those risk factors that are reasonably relevant from an Indonesian legal perspective, namely:</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283"/>
              <w:jc w:val="both"/>
              <w:rPr/>
            </w:pPr>
            <w:r>
              <w:rPr/>
              <w:t>“</w:t>
            </w:r>
            <w:r>
              <w:rPr>
                <w:i/>
              </w:rPr>
              <w:t>The effect and impact of the recently enacted Omnibus Law on job creation in Indonesia are not immediately known and subject to ongoing review</w:t>
            </w:r>
            <w:r>
              <w:rPr/>
              <w:t>”, “</w:t>
            </w:r>
            <w:r>
              <w:rPr>
                <w:i/>
              </w:rPr>
              <w:t>We may be subject to litigation, arbitration, or other legal proceeding risks.</w:t>
            </w:r>
            <w:r>
              <w:rPr/>
              <w:t>”;</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w:t>
            </w:r>
            <w:r>
              <w:rPr>
                <w:i/>
              </w:rPr>
              <w:t>The insurance coverage of our Company may be inadequate to protect it from its potential losses.</w:t>
            </w:r>
            <w:r>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(iii)</w:t>
            </w:r>
          </w:p>
        </w:tc>
        <w:tc>
          <w:tcPr>
            <w:tcW w:w="9835" w:type="dxa"/>
            <w:tcBorders/>
            <w:vAlign w:val="center"/>
          </w:tcPr>
          <w:p>
            <w:pPr>
              <w:pStyle w:val="TableContents"/>
              <w:bidi w:val="0"/>
              <w:spacing w:before="0" w:after="283"/>
              <w:jc w:val="both"/>
              <w:rPr/>
            </w:pPr>
            <w:r>
              <w:rPr/>
              <w:t>“</w:t>
            </w:r>
            <w:r>
              <w:rPr>
                <w:i/>
              </w:rPr>
              <w:t>We may be affected by uncertainty in the balance of power between local governments and the central government in Indonesia.</w:t>
            </w:r>
            <w:r>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pPr>
            <w:r>
              <w:rPr/>
              <w:t>(G)</w:t>
            </w:r>
          </w:p>
        </w:tc>
        <w:tc>
          <w:tcPr>
            <w:tcW w:w="9899" w:type="dxa"/>
            <w:tcBorders/>
            <w:vAlign w:val="center"/>
          </w:tcPr>
          <w:p>
            <w:pPr>
              <w:pStyle w:val="TableContents"/>
              <w:bidi w:val="0"/>
              <w:spacing w:before="0" w:after="283"/>
              <w:jc w:val="both"/>
              <w:rPr/>
            </w:pPr>
            <w:r>
              <w:rPr/>
              <w:t>The Opinion provided regarding the “Business” section under the Registration Statement is limited in scope and should be understood as addressing only those that are reasonably relevant from an Indonesian legal perspective pertaining to the Indonesian Companies, namely “</w:t>
            </w:r>
            <w:r>
              <w:rPr>
                <w:i/>
              </w:rPr>
              <w:t>Real Property”</w:t>
            </w:r>
            <w:r>
              <w:rPr/>
              <w:t>, “</w:t>
            </w:r>
            <w:r>
              <w:rPr>
                <w:i/>
              </w:rPr>
              <w:t>Licenses and Permits and Registrations</w:t>
            </w:r>
            <w:r>
              <w:rPr/>
              <w:t>”, “</w:t>
            </w:r>
            <w:r>
              <w:rPr>
                <w:i/>
              </w:rPr>
              <w:t>Certifications</w:t>
            </w:r>
            <w:r>
              <w:rPr/>
              <w:t>”, “</w:t>
            </w:r>
            <w:r>
              <w:rPr>
                <w:i/>
              </w:rPr>
              <w:t>Employees</w:t>
            </w:r>
            <w:r>
              <w:rPr/>
              <w:t>”, “</w:t>
            </w:r>
            <w:r>
              <w:rPr>
                <w:i/>
              </w:rPr>
              <w:t>Litigation and Other Legal Proceedings</w:t>
            </w:r>
            <w:r>
              <w:rPr/>
              <w:t>”, and “</w:t>
            </w:r>
            <w:r>
              <w:rPr>
                <w:i/>
              </w:rPr>
              <w:t>Insurance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(H)</w:t>
            </w:r>
          </w:p>
        </w:tc>
        <w:tc>
          <w:tcPr>
            <w:tcW w:w="9896" w:type="dxa"/>
            <w:tcBorders/>
            <w:vAlign w:val="center"/>
          </w:tcPr>
          <w:p>
            <w:pPr>
              <w:pStyle w:val="TableContents"/>
              <w:bidi w:val="0"/>
              <w:spacing w:before="0" w:after="283"/>
              <w:jc w:val="both"/>
              <w:rPr/>
            </w:pPr>
            <w:r>
              <w:rPr/>
              <w:t>The Opinion provided regarding the “Regulatory Environment” section under the Registration Statement is limited in scope and should be understood as addressing only those that are reasonably relevant from an Indonesian legal perspective pertaining to the Indonesian Companies, namely “</w:t>
            </w:r>
            <w:r>
              <w:rPr>
                <w:i/>
              </w:rPr>
              <w:t>Laws and Regulations Relating to Our Business in Indonesia</w:t>
            </w:r>
            <w:r>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t>Our Opinion does not address risks or events that are speculative, unforeseeable, or beyond the current knowledge and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(J)</w:t>
            </w:r>
          </w:p>
        </w:tc>
        <w:tc>
          <w:tcPr>
            <w:tcW w:w="9947" w:type="dxa"/>
            <w:tcBorders/>
            <w:vAlign w:val="center"/>
          </w:tcPr>
          <w:p>
            <w:pPr>
              <w:pStyle w:val="TableContents"/>
              <w:bidi w:val="0"/>
              <w:spacing w:before="0" w:after="283"/>
              <w:jc w:val="both"/>
              <w:rPr/>
            </w:pPr>
            <w:r>
              <w:rPr/>
              <w:t>Laws and regulations in Indonesia are not always fully or properly published and, in some cases, may be in conflict with each other.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(K)</w:t>
            </w:r>
          </w:p>
        </w:tc>
        <w:tc>
          <w:tcPr>
            <w:tcW w:w="9904" w:type="dxa"/>
            <w:tcBorders/>
            <w:vAlign w:val="center"/>
          </w:tcPr>
          <w:p>
            <w:pPr>
              <w:pStyle w:val="TableContents"/>
              <w:bidi w:val="0"/>
              <w:spacing w:before="0" w:after="283"/>
              <w:jc w:val="both"/>
              <w:rPr/>
            </w:pPr>
            <w:r>
              <w:rPr/>
              <w:t>Interpretation and the application of the requirements and the provisions of the relevant laws and regulations by the Indonesian authorities would depend upon their personal point of view and discretion. The verbal information and/or confirmation provided by them (as government authority officials) may not constitute a binding view or opinion of the relevant authorities. Therefore, our view and interpretation on the implementation of the provisions of and the requirements under the Indonesian laws and regulations, may or may not be shared by the relevant Indonesian authorities and/or the Indonesian courts.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66825" cy="542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7"/>
                    <a:stretch>
                      <a:fillRect/>
                    </a:stretch>
                  </pic:blipFill>
                  <pic:spPr bwMode="auto">
                    <a:xfrm>
                      <a:off x="0" y="0"/>
                      <a:ext cx="1266825" cy="5429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624" w:type="dxa"/>
        <w:jc w:val="left"/>
        <w:tblInd w:w="0" w:type="dxa"/>
        <w:tblLayout w:type="fixed"/>
        <w:tblCellMar>
          <w:top w:w="0" w:type="dxa"/>
          <w:left w:w="0" w:type="dxa"/>
          <w:bottom w:w="0" w:type="dxa"/>
          <w:right w:w="0" w:type="dxa"/>
        </w:tblCellMar>
      </w:tblPr>
      <w:tblGrid>
        <w:gridCol w:w="1525"/>
        <w:gridCol w:w="99"/>
      </w:tblGrid>
      <w:tr>
        <w:trPr/>
        <w:tc>
          <w:tcPr>
            <w:tcW w:w="1525" w:type="dxa"/>
            <w:tcBorders/>
            <w:vAlign w:val="center"/>
          </w:tcPr>
          <w:p>
            <w:pPr>
              <w:pStyle w:val="TableContents"/>
              <w:bidi w:val="0"/>
              <w:spacing w:before="0" w:after="283"/>
              <w:jc w:val="left"/>
              <w:rPr>
                <w:sz w:val="20"/>
              </w:rPr>
            </w:pPr>
            <w:r>
              <w:rPr>
                <w:sz w:val="20"/>
              </w:rPr>
              <w:t xml:space="preserve">Ultratrex Inc. </w:t>
            </w:r>
          </w:p>
        </w:tc>
        <w:tc>
          <w:tcPr>
            <w:tcW w:w="99" w:type="dxa"/>
            <w:tcBorders/>
            <w:vAlign w:val="center"/>
          </w:tcPr>
          <w:p>
            <w:pPr>
              <w:pStyle w:val="TableContents"/>
              <w:bidi w:val="0"/>
              <w:spacing w:before="0" w:after="283"/>
              <w:jc w:val="left"/>
              <w:rPr/>
            </w:pPr>
            <w:r>
              <w:rPr/>
              <w:t> </w:t>
            </w:r>
          </w:p>
        </w:tc>
      </w:tr>
      <w:tr>
        <w:trPr/>
        <w:tc>
          <w:tcPr>
            <w:tcW w:w="152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624" w:type="dxa"/>
            <w:gridSpan w:val="2"/>
            <w:tcBorders>
              <w:bottom w:val="single" w:sz="12" w:space="0" w:color="000000"/>
            </w:tcBorders>
            <w:tcMar>
              <w:bottom w:w="40" w:type="dxa"/>
            </w:tcMar>
            <w:vAlign w:val="center"/>
          </w:tcPr>
          <w:p>
            <w:pPr>
              <w:pStyle w:val="TableContents"/>
              <w:bidi w:val="0"/>
              <w:spacing w:before="0" w:after="283"/>
              <w:jc w:val="right"/>
              <w:rPr>
                <w:sz w:val="20"/>
              </w:rPr>
            </w:pPr>
            <w:r>
              <w:rPr>
                <w:sz w:val="20"/>
              </w:rPr>
              <w:t>17 September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(L)</w:t>
            </w:r>
          </w:p>
        </w:tc>
        <w:tc>
          <w:tcPr>
            <w:tcW w:w="9910" w:type="dxa"/>
            <w:tcBorders/>
            <w:vAlign w:val="center"/>
          </w:tcPr>
          <w:p>
            <w:pPr>
              <w:pStyle w:val="TableContents"/>
              <w:bidi w:val="0"/>
              <w:spacing w:before="0" w:after="283"/>
              <w:jc w:val="both"/>
              <w:rPr/>
            </w:pPr>
            <w:r>
              <w:rPr/>
              <w:t>In practice, we wish to note that views of the relevant officers of the government authorities on a particular matter sought for clarification are not necessarily consistently shared by other government officers.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(M)</w:t>
            </w:r>
          </w:p>
        </w:tc>
        <w:tc>
          <w:tcPr>
            <w:tcW w:w="9870" w:type="dxa"/>
            <w:tcBorders/>
            <w:vAlign w:val="center"/>
          </w:tcPr>
          <w:p>
            <w:pPr>
              <w:pStyle w:val="TableContents"/>
              <w:bidi w:val="0"/>
              <w:spacing w:before="0" w:after="283"/>
              <w:jc w:val="both"/>
              <w:rPr/>
            </w:pPr>
            <w:r>
              <w:rPr/>
              <w:t>Our opinion is provided based on the Supporting Documents provided to us by the Company or the Indonesian Companies. We have relied on the truth, accuracy and completeness of factual statements or representations provided to us by any director, officer or other representative of Indonesian Companies and the Company (including their advisers and service providers), whether or not in writing, in respect of matters concerning the Indonesian Companies.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(N)</w:t>
            </w:r>
          </w:p>
        </w:tc>
        <w:tc>
          <w:tcPr>
            <w:tcW w:w="9847" w:type="dxa"/>
            <w:tcBorders/>
            <w:vAlign w:val="center"/>
          </w:tcPr>
          <w:p>
            <w:pPr>
              <w:pStyle w:val="TableContents"/>
              <w:bidi w:val="0"/>
              <w:spacing w:before="0" w:after="283"/>
              <w:jc w:val="both"/>
              <w:rPr/>
            </w:pPr>
            <w:r>
              <w:rPr/>
              <w:t>This Opinion is limited strictly to the matters stated herein and does not apply by implication to any other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is strictly limited to the matters stated herein and may not be read as extending by implication to any matters not specifically referred to. Nothing in this Opinion should be taken as expressing an opinion in respect of any other information contained in the Registration Statement, or any other document examined in connection with this Opinion, except as expressly confirmed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only to, and is solely for the benefit of, the addressees, and except with our express prior written consent in each instance, is not to be used, circulated, quoted, published or otherwise referred to or disseminated for any other purpose or relied upon by any person or entity other than the addressees.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hereby consent to the use of this Opinion in, and the filing hereof as an exhibit to, the Registration Statement, and to the references to our name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 BUDIARDJO, NUGROHO, REKSODIPUTRO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857375" cy="609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8"/>
                    <a:stretch>
                      <a:fillRect/>
                    </a:stretch>
                  </pic:blipFill>
                  <pic:spPr bwMode="auto">
                    <a:xfrm>
                      <a:off x="0" y="0"/>
                      <a:ext cx="1857375" cy="60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Emir Nurmansyah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22242710ex99-14_ultratrex.htm"/>
      <w:bookmarkStart w:id="11" w:name="ksea022242710ex9914_ultratrex"/>
      <w:bookmarkEnd w:id="10"/>
      <w:bookmarkEnd w:id="11"/>
      <w:r>
        <w:rPr>
          <w:rFonts w:ascii="Times New Roman;Times;Serif" w:hAnsi="Times New Roman;Times;Serif"/>
          <w:b/>
          <w:i w:val="false"/>
          <w:caps w:val="false"/>
          <w:smallCaps w:val="false"/>
          <w:sz w:val="20"/>
        </w:rPr>
        <w:t>Exhibit 99.14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47925" cy="533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9"/>
                    <a:stretch>
                      <a:fillRect/>
                    </a:stretch>
                  </pic:blipFill>
                  <pic:spPr bwMode="auto">
                    <a:xfrm>
                      <a:off x="0" y="0"/>
                      <a:ext cx="2447925" cy="5334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DIK Kojimachi Bldg., 1-6-9 Kojimachi </w:t>
        <w:br/>
        <w:t>Chiyoda-ku, Tokyo 102-0083 Japan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Tel/Fax: +81-3-5357-1314 / +81-3-5357-1315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Orchard Road</w:t>
      </w:r>
    </w:p>
    <w:p>
      <w:pPr>
        <w:pStyle w:val="TextBody"/>
        <w:bidi w:val="0"/>
        <w:spacing w:before="0" w:after="0"/>
        <w:ind w:left="0" w:right="0" w:hanging="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05-01, Midpoint Orchard </w:t>
        <w:br/>
        <w:t>Singapore 238852</w:t>
      </w:r>
    </w:p>
    <w:p>
      <w:pPr>
        <w:pStyle w:val="TextBody"/>
        <w:bidi w:val="0"/>
        <w:spacing w:before="0" w:after="0"/>
        <w:ind w:left="0" w:right="0" w:hanging="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OPINION ON JAPANESE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INITIAL PUBLIC OFFERING OF SHARES BY ULTRATREX INC. AND LISTING ON NASDAQ</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15"/>
        <w:gridCol w:w="1310"/>
      </w:tblGrid>
      <w:tr>
        <w:trPr/>
        <w:tc>
          <w:tcPr>
            <w:tcW w:w="215" w:type="dxa"/>
            <w:tcBorders/>
            <w:vAlign w:val="center"/>
          </w:tcPr>
          <w:p>
            <w:pPr>
              <w:pStyle w:val="TableContents"/>
              <w:bidi w:val="0"/>
              <w:spacing w:before="0" w:after="283"/>
              <w:jc w:val="left"/>
              <w:rPr>
                <w:b/>
              </w:rPr>
            </w:pPr>
            <w:r>
              <w:rPr>
                <w:b/>
              </w:rPr>
              <w:t>1.</w:t>
            </w:r>
          </w:p>
        </w:tc>
        <w:tc>
          <w:tcPr>
            <w:tcW w:w="1310" w:type="dxa"/>
            <w:tcBorders/>
            <w:vAlign w:val="center"/>
          </w:tcPr>
          <w:p>
            <w:pPr>
              <w:pStyle w:val="TableContents"/>
              <w:bidi w:val="0"/>
              <w:spacing w:before="0" w:after="283"/>
              <w:jc w:val="left"/>
              <w:rPr>
                <w:b/>
              </w:rPr>
            </w:pPr>
            <w:r>
              <w:rPr>
                <w:b/>
              </w:rPr>
              <w:t>Background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counsellors at law qualified to practice law in Japan and are acting as independent legal counsel to Ultratrex Inc., a company incorporated under the laws of Cayman Islands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We have been asked to issue this legal opinion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our capacity as Japanese legal counsel to the Company, in relation to the proposed initial public offering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1,250,000 class A ordinary shares, par value US$0.0001 per share (“Class A Shares”), of the Company and the proposed listing of the Class A Shares on the Nasdaq Capital Market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is given to the Company solely for its benefit in respect to: (a) the Offering, as further described in the Company’s registration statement on Form F-1 with Registration No. 333-290101, including all amendments and/or supplements thereto </w:t>
      </w: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val="false"/>
          <w:i w:val="false"/>
          <w:caps w:val="false"/>
          <w:smallCaps w:val="false"/>
          <w:sz w:val="20"/>
        </w:rPr>
        <w:t>filed by the Company with the U.S. Securities and Exchange Commission under the U.S. Securities Act of 1933, as amended, in relation to the Offering; and (b) the Listing.</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15"/>
        <w:gridCol w:w="2405"/>
      </w:tblGrid>
      <w:tr>
        <w:trPr/>
        <w:tc>
          <w:tcPr>
            <w:tcW w:w="215" w:type="dxa"/>
            <w:tcBorders/>
            <w:vAlign w:val="center"/>
          </w:tcPr>
          <w:p>
            <w:pPr>
              <w:pStyle w:val="TableContents"/>
              <w:bidi w:val="0"/>
              <w:spacing w:before="0" w:after="283"/>
              <w:jc w:val="left"/>
              <w:rPr>
                <w:b/>
              </w:rPr>
            </w:pPr>
            <w:r>
              <w:rPr>
                <w:b/>
              </w:rPr>
              <w:t>2.</w:t>
            </w:r>
          </w:p>
        </w:tc>
        <w:tc>
          <w:tcPr>
            <w:tcW w:w="2405" w:type="dxa"/>
            <w:tcBorders/>
            <w:vAlign w:val="center"/>
          </w:tcPr>
          <w:p>
            <w:pPr>
              <w:pStyle w:val="TableContents"/>
              <w:bidi w:val="0"/>
              <w:spacing w:before="0" w:after="283"/>
              <w:jc w:val="left"/>
              <w:rPr>
                <w:b/>
              </w:rPr>
            </w:pPr>
            <w:r>
              <w:rPr>
                <w:b/>
              </w:rPr>
              <w:t>Scope of Legal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relates only to the laws of general application in Japan as at the date hereof and as currently applied by the Japanese courts, and is given on the basis that it will be governed by and construed in accordance with Japanese Laws. We have made no investigation of, and do not express or imply any views on, the laws of any country other than Japan. In particular:-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we express no opinion (i) on public international law or on the rules of or promulgated under any treaty or by any treaty organisation, or on any taxation laws of any jurisdiction (including Japan); and (ii) with regard to the effect of any systems of law (other than Japanese Laws) even in cases where, under Japanese Laws, any foreign law should be applied, and we therefore assume that any applicable law (other than Japanese Laws) would not affect or qualify the opinions as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we express no opinion as to the correctness of any representation given by any of the parties (express or implied) under or by virtue of the documents submitted to us or of facts (or statements of foreign law) or the reasonableness of any statements of opinion or intention contained in any of the documents, save if and insofar as the matters represented are the subject matter of a specific opinion herein;</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2447925" cy="533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50"/>
                    <a:stretch>
                      <a:fillRect/>
                    </a:stretch>
                  </pic:blipFill>
                  <pic:spPr bwMode="auto">
                    <a:xfrm>
                      <a:off x="0" y="0"/>
                      <a:ext cx="2447925" cy="5334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DIK Kojimachi Bldg., 1-6-9 Kojimachi </w:t>
        <w:br/>
        <w:t xml:space="preserve">Chiyoda-ku, Tokyo 102-0083 Japan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Tel/Fax: +81-3-5357-1314 / +81-3-5357-1315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Japanese legal concepts are expressed in Japanese terms; however, the concepts concerned may not be identical to the concepts described by English terms as they exist in the laws of other jurisdictions, this letter may, therefore, only be relied upon the express condition that any issues of the interpretation or liability arising hereunder will be governed by Japanese Laws;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this letter speaks as of the date hereof, no obligation is assumed to update this letter or to inform any person of any changes of law or other matters coming to our knowledge and occurring after this date, which may, affect this letter in any respect.</w:t>
            </w:r>
          </w:p>
        </w:tc>
      </w:tr>
    </w:tbl>
    <w:p>
      <w:pPr>
        <w:pStyle w:val="TextBody"/>
        <w:bidi w:val="0"/>
        <w:spacing w:before="0" w:after="0"/>
        <w:jc w:val="center"/>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pPr>
            <w:r>
              <w:rPr/>
              <w:t>3.</w:t>
            </w:r>
          </w:p>
        </w:tc>
        <w:tc>
          <w:tcPr>
            <w:tcW w:w="815" w:type="dxa"/>
            <w:tcBorders/>
            <w:vAlign w:val="center"/>
          </w:tcPr>
          <w:p>
            <w:pPr>
              <w:pStyle w:val="TableContents"/>
              <w:bidi w:val="0"/>
              <w:spacing w:before="0" w:after="283"/>
              <w:jc w:val="left"/>
              <w:rPr/>
            </w:pPr>
            <w:r>
              <w:rPr/>
              <w:t>Opinion</w:t>
            </w:r>
          </w:p>
        </w:tc>
      </w:tr>
    </w:tbl>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720" w:right="0" w:hanging="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herein, we are of the opinion or we note (as the case may be)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found in the Registration Statement under the headings ‘Enforceability of Civil Liabilities’ and ‘Regulatory Environment,’ insofar as such statements describe, pertain or summarize Japanese laws or proceedings, are true and accurate in all material respects, and fairly present and summarize in all material respects the said Japanese laws or proceedings without any material omissions that could render them misleading. The disclosures featuring our viewpoints in the Registration Statement under the ‘Enforceability of Civil Liabilities’ and ‘Regulatory Environment’ sections, to the extent that they pertain to Japanese laws are indeed expressions of our professional opinions.</w:t>
      </w:r>
    </w:p>
    <w:p>
      <w:pPr>
        <w:pStyle w:val="TextBody"/>
        <w:bidi w:val="0"/>
        <w:spacing w:before="0" w:after="0"/>
        <w:jc w:val="center"/>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pPr>
            <w:r>
              <w:rPr/>
              <w:t>4.</w:t>
            </w:r>
          </w:p>
        </w:tc>
        <w:tc>
          <w:tcPr>
            <w:tcW w:w="1355" w:type="dxa"/>
            <w:tcBorders/>
            <w:vAlign w:val="center"/>
          </w:tcPr>
          <w:p>
            <w:pPr>
              <w:pStyle w:val="TableContents"/>
              <w:bidi w:val="0"/>
              <w:spacing w:before="0" w:after="283"/>
              <w:jc w:val="left"/>
              <w:rPr/>
            </w:pPr>
            <w:r>
              <w:rPr/>
              <w:t>Qualifications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above is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to the extent it is stated in this letter that we have relied on the confirmations of the Company, we have not made independent verification of such confirmations from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we have made no investigation into, and do not express or imply any views on, the laws or regulations of any country other than Japan or on any non-legal regulation or standard such as but not limited to ac’bounting, financial or technical rules or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except as may be expressly described herein, we have not undertaken any independent investigation to determine the existence or absence of any facts and no inference as to our knowledge of the existence or absence of such facts should be drawn from our serving as counsel in giving this letter;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both"/>
              <w:rPr/>
            </w:pPr>
            <w:r>
              <w:rPr/>
              <w:t>if a person for whose benefit our letter is given is actually aware of or believes there to be a false or misleading statement or an omission of the information requested to be provided to us in connection with the work performed by us in rendering this letter, that person may not rely on this letter in relation to that statement or omission and should seek legal advice on the specific matter concerned;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(e)</w:t>
            </w:r>
          </w:p>
        </w:tc>
        <w:tc>
          <w:tcPr>
            <w:tcW w:w="9926" w:type="dxa"/>
            <w:tcBorders/>
            <w:vAlign w:val="center"/>
          </w:tcPr>
          <w:p>
            <w:pPr>
              <w:pStyle w:val="TableContents"/>
              <w:bidi w:val="0"/>
              <w:spacing w:before="0" w:after="283"/>
              <w:jc w:val="both"/>
              <w:rPr/>
            </w:pPr>
            <w:r>
              <w:rPr/>
              <w:t>we are unable to advise whether the Reviewed Documents comprise all the information and material in existence which may be relevant for the purposes of our legal due diligence;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47925" cy="533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51"/>
                    <a:stretch>
                      <a:fillRect/>
                    </a:stretch>
                  </pic:blipFill>
                  <pic:spPr bwMode="auto">
                    <a:xfrm>
                      <a:off x="0" y="0"/>
                      <a:ext cx="2447925" cy="533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DIK Kojimachi Bldg., 1-6-9 Kojimachi</w:t>
        <w:br/>
        <w:t xml:space="preserve">Chiyoda-ku, Tokyo 102-0083 Japan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Tel/Fax: +81-3-5357-1314 / +81-3-5357-1315</w:t>
      </w:r>
    </w:p>
    <w:p>
      <w:pPr>
        <w:pStyle w:val="TextBody"/>
        <w:bidi w:val="0"/>
        <w:spacing w:before="0" w:after="0"/>
        <w:jc w:val="center"/>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15"/>
        <w:gridCol w:w="965"/>
      </w:tblGrid>
      <w:tr>
        <w:trPr/>
        <w:tc>
          <w:tcPr>
            <w:tcW w:w="215" w:type="dxa"/>
            <w:tcBorders/>
            <w:vAlign w:val="center"/>
          </w:tcPr>
          <w:p>
            <w:pPr>
              <w:pStyle w:val="TableContents"/>
              <w:bidi w:val="0"/>
              <w:spacing w:before="0" w:after="283"/>
              <w:jc w:val="left"/>
              <w:rPr>
                <w:b/>
              </w:rPr>
            </w:pPr>
            <w:r>
              <w:rPr>
                <w:b/>
              </w:rPr>
              <w:t>5.</w:t>
            </w:r>
          </w:p>
        </w:tc>
        <w:tc>
          <w:tcPr>
            <w:tcW w:w="965" w:type="dxa"/>
            <w:tcBorders/>
            <w:vAlign w:val="center"/>
          </w:tcPr>
          <w:p>
            <w:pPr>
              <w:pStyle w:val="TableContents"/>
              <w:bidi w:val="0"/>
              <w:spacing w:before="0" w:after="283"/>
              <w:jc w:val="left"/>
              <w:rPr>
                <w:b/>
              </w:rPr>
            </w:pPr>
            <w:r>
              <w:rPr>
                <w:b/>
              </w:rPr>
              <w:t>Purposes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specifically intended for the Company’s exclusive benefit and is applicable solely in the context of the Offering. It is crucial to understand that this Opinion: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both"/>
              <w:rPr/>
            </w:pPr>
            <w:r>
              <w:rPr/>
              <w:t>should not be relied upon, or utilised by any other individual and/or entity for any purpose beyond what is outlined in paragraph 6 below; and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this Opinion must not be disclosed to any person, except the Company’s affiliates and/or legal advisors. It should not be quoted or referenced in any public document, submitted to any government, regulatory agency, stock exchange, or any other individual without our explicit prior written consent, except as outlined in paragraph 7 below.</w:t>
            </w:r>
          </w:p>
        </w:tc>
      </w:tr>
    </w:tbl>
    <w:p>
      <w:pPr>
        <w:pStyle w:val="TextBody"/>
        <w:bidi w:val="0"/>
        <w:spacing w:before="0" w:after="0"/>
        <w:jc w:val="center"/>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15"/>
        <w:gridCol w:w="890"/>
      </w:tblGrid>
      <w:tr>
        <w:trPr/>
        <w:tc>
          <w:tcPr>
            <w:tcW w:w="215" w:type="dxa"/>
            <w:tcBorders/>
            <w:vAlign w:val="center"/>
          </w:tcPr>
          <w:p>
            <w:pPr>
              <w:pStyle w:val="TableContents"/>
              <w:bidi w:val="0"/>
              <w:spacing w:before="0" w:after="283"/>
              <w:jc w:val="left"/>
              <w:rPr>
                <w:b/>
              </w:rPr>
            </w:pPr>
            <w:r>
              <w:rPr>
                <w:b/>
              </w:rPr>
              <w:t>6.</w:t>
            </w:r>
          </w:p>
        </w:tc>
        <w:tc>
          <w:tcPr>
            <w:tcW w:w="890" w:type="dxa"/>
            <w:tcBorders/>
            <w:vAlign w:val="center"/>
          </w:tcPr>
          <w:p>
            <w:pPr>
              <w:pStyle w:val="TableContents"/>
              <w:bidi w:val="0"/>
              <w:spacing w:before="0" w:after="283"/>
              <w:jc w:val="left"/>
              <w:rPr>
                <w:b/>
              </w:rPr>
            </w:pPr>
            <w:r>
              <w:rPr>
                <w:b/>
              </w:rPr>
              <w:t>Liability</w:t>
            </w:r>
          </w:p>
        </w:tc>
      </w:tr>
    </w:tbl>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72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this Opinion is not to be relied upon by anyone apart from the Company. We do not assume any responsibility and/or liability towards any other individual and/or entity, even if the Company has shared a copy of our Opinion with another person, as long as it was done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subject to the constraints imposed by applicable laws and regulations, the Company is permitted to rely on this Opinion under the condition that our total aggregate liability concerning the matters discussed in this Opinion is restricted to the total net fees we received in connection with the Listing.</w:t>
      </w:r>
    </w:p>
    <w:p>
      <w:pPr>
        <w:pStyle w:val="TextBody"/>
        <w:bidi w:val="0"/>
        <w:spacing w:before="0" w:after="0"/>
        <w:jc w:val="center"/>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15"/>
        <w:gridCol w:w="875"/>
      </w:tblGrid>
      <w:tr>
        <w:trPr/>
        <w:tc>
          <w:tcPr>
            <w:tcW w:w="215" w:type="dxa"/>
            <w:tcBorders/>
            <w:vAlign w:val="center"/>
          </w:tcPr>
          <w:p>
            <w:pPr>
              <w:pStyle w:val="TableContents"/>
              <w:bidi w:val="0"/>
              <w:spacing w:before="0" w:after="283"/>
              <w:jc w:val="left"/>
              <w:rPr>
                <w:b/>
              </w:rPr>
            </w:pPr>
            <w:r>
              <w:rPr>
                <w:b/>
              </w:rPr>
              <w:t>7.</w:t>
            </w:r>
          </w:p>
        </w:tc>
        <w:tc>
          <w:tcPr>
            <w:tcW w:w="875" w:type="dxa"/>
            <w:tcBorders/>
            <w:vAlign w:val="center"/>
          </w:tcPr>
          <w:p>
            <w:pPr>
              <w:pStyle w:val="TableContents"/>
              <w:bidi w:val="0"/>
              <w:spacing w:before="0" w:after="283"/>
              <w:jc w:val="left"/>
              <w:rPr>
                <w:b/>
              </w:rPr>
            </w:pPr>
            <w:r>
              <w:rPr>
                <w:b/>
              </w:rPr>
              <w:t>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utilisation of this Opinion in the Registration Statement, and we also authorise its filing as an exhibit therein. In addition, we consent to the inclusion of references to our name within the said Registration Statement.</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Tonogai Law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Attorney-at-Law, SHUJI TONOGAI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33600" cy="628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52"/>
                    <a:stretch>
                      <a:fillRect/>
                    </a:stretch>
                  </pic:blipFill>
                  <pic:spPr bwMode="auto">
                    <a:xfrm>
                      <a:off x="0" y="0"/>
                      <a:ext cx="2133600"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09/17/2025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 w:name="ea022242710ex99-15_ultratrex.htm"/>
      <w:bookmarkStart w:id="13" w:name="ksea022242710ex9915_ultratrex"/>
      <w:bookmarkEnd w:id="12"/>
      <w:bookmarkEnd w:id="13"/>
      <w:r>
        <w:rPr>
          <w:rFonts w:ascii="Times New Roman;Times;Serif" w:hAnsi="Times New Roman;Times;Serif"/>
          <w:b/>
          <w:i w:val="false"/>
          <w:caps w:val="false"/>
          <w:smallCaps w:val="false"/>
          <w:sz w:val="20"/>
        </w:rPr>
        <w:t>Exhibit 99.15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Via Edgar Correspondence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Ms. Marion Graham</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20"/>
        <w:gridCol w:w="5990"/>
      </w:tblGrid>
      <w:tr>
        <w:trPr/>
        <w:tc>
          <w:tcPr>
            <w:tcW w:w="320" w:type="dxa"/>
            <w:tcBorders/>
            <w:vAlign w:val="center"/>
          </w:tcPr>
          <w:p>
            <w:pPr>
              <w:pStyle w:val="TableContents"/>
              <w:bidi w:val="0"/>
              <w:spacing w:before="0" w:after="283"/>
              <w:jc w:val="left"/>
              <w:rPr>
                <w:b/>
                <w:sz w:val="20"/>
              </w:rPr>
            </w:pPr>
            <w:r>
              <w:rPr>
                <w:b/>
                <w:sz w:val="20"/>
              </w:rPr>
              <w:t>Re:</w:t>
            </w:r>
          </w:p>
        </w:tc>
        <w:tc>
          <w:tcPr>
            <w:tcW w:w="59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F-1 (File No. 333-290101)</w:t>
            </w:r>
          </w:p>
        </w:tc>
      </w:tr>
      <w:tr>
        <w:trPr/>
        <w:tc>
          <w:tcPr>
            <w:tcW w:w="32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b/>
                <w:sz w:val="20"/>
              </w:rPr>
            </w:pPr>
            <w:r>
              <w:rPr>
                <w:b/>
                <w:sz w:val="20"/>
              </w:rPr>
              <w:t>Request for Waiver and Representation under Item 8.A.4 of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Graham: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Ultratrex Inc., a foreign private issuer organized under the laws of the Cayman Islands (the “Company”), is submitting this letter via EDGAR to the U.S. Securities and Exchange Commission (the “Commission”) in connection with the Company’s registration statement on Form F-1 filed with the Commission on September 8, 2025 (the “Registration Statement”), relating to the proposed initial public offering and listing of the Company’s class A ordinary shares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in the Registration Statement its audited consolidated financial statements, prepared in accordance with the provisions of the International Financial Reporting Standards (“IFRS”) as issued by the International Accounting Standards Board (“IASB”), as of June 30, 2023 and 2024 and for each of the two fiscal years ended June 30, 2023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respectfully requests that the Commission waive the requirement of Item 8.A.4 of Form 20-F, which states that in the case of a company’s initial public offering, the registration statement on Form F-1 must contain audited financial statements of a date not older than 12 months from the date of the offering (the “12-Month Requirement”). </w:t>
      </w:r>
      <w:r>
        <w:rPr>
          <w:rFonts w:ascii="Times New Roman;Times;Serif" w:hAnsi="Times New Roman;Times;Serif"/>
          <w:b w:val="false"/>
          <w:i/>
          <w:caps w:val="false"/>
          <w:smallCaps w:val="false"/>
          <w:sz w:val="20"/>
        </w:rPr>
        <w:t xml:space="preserve">See also </w:t>
      </w:r>
      <w:r>
        <w:rPr>
          <w:rFonts w:ascii="Times New Roman;Times;Serif" w:hAnsi="Times New Roman;Times;Serif"/>
          <w:b w:val="false"/>
          <w:i w:val="false"/>
          <w:caps w:val="false"/>
          <w:smallCaps w:val="false"/>
          <w:sz w:val="20"/>
        </w:rPr>
        <w:t xml:space="preserve">Division of Corporation Finance, </w:t>
      </w:r>
      <w:r>
        <w:rPr>
          <w:rFonts w:ascii="Times New Roman;Times;Serif" w:hAnsi="Times New Roman;Times;Serif"/>
          <w:b w:val="false"/>
          <w:i/>
          <w:caps w:val="false"/>
          <w:smallCaps w:val="false"/>
          <w:sz w:val="20"/>
        </w:rPr>
        <w:t>Financial Reporting Manual</w:t>
      </w:r>
      <w:r>
        <w:rPr>
          <w:rFonts w:ascii="Times New Roman;Times;Serif" w:hAnsi="Times New Roman;Times;Serif"/>
          <w:b w:val="false"/>
          <w:i w:val="false"/>
          <w:caps w:val="false"/>
          <w:smallCaps w:val="false"/>
          <w:sz w:val="20"/>
        </w:rPr>
        <w:t>, Section 6220.3.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submitting this waiver request pursuant to Instruction 2 to Item 8.A.4 of Form 20-F, which provides that the Commission will waive the 12-Month Requirement “in cases where the company is able to represent adequately to us that it is not required to comply with this requirement in any other jurisdiction outside the United States and that complying with this requirement is impracticable or involves undue hardship.” </w:t>
      </w:r>
      <w:r>
        <w:rPr>
          <w:rFonts w:ascii="Times New Roman;Times;Serif" w:hAnsi="Times New Roman;Times;Serif"/>
          <w:b w:val="false"/>
          <w:i/>
          <w:caps w:val="false"/>
          <w:smallCaps w:val="false"/>
          <w:sz w:val="20"/>
        </w:rPr>
        <w:t xml:space="preserve">See also </w:t>
      </w:r>
      <w:r>
        <w:rPr>
          <w:rFonts w:ascii="Times New Roman;Times;Serif" w:hAnsi="Times New Roman;Times;Serif"/>
          <w:b w:val="false"/>
          <w:i w:val="false"/>
          <w:caps w:val="false"/>
          <w:smallCaps w:val="false"/>
          <w:sz w:val="20"/>
        </w:rPr>
        <w:t xml:space="preserve">the 2004 release entitled </w:t>
      </w:r>
      <w:r>
        <w:rPr>
          <w:rFonts w:ascii="Times New Roman;Times;Serif" w:hAnsi="Times New Roman;Times;Serif"/>
          <w:b w:val="false"/>
          <w:i/>
          <w:caps w:val="false"/>
          <w:smallCaps w:val="false"/>
          <w:sz w:val="20"/>
        </w:rPr>
        <w:t xml:space="preserve">International Reporting and Disclosure Issues in the Division of Corporation Finance </w:t>
      </w:r>
      <w:r>
        <w:rPr>
          <w:rFonts w:ascii="Times New Roman;Times;Serif" w:hAnsi="Times New Roman;Times;Serif"/>
          <w:b w:val="false"/>
          <w:i w:val="false"/>
          <w:caps w:val="false"/>
          <w:smallCaps w:val="false"/>
          <w:sz w:val="20"/>
        </w:rPr>
        <w:t>(available on the Commission’s website at http://www.sec.gov/divisions/corpfin/internatl/cfirdissues1104.htm) by the staff of the Division of Corporation Finance of the Commission at Section III.B.c, in which the staff noted that: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instruction indicates that the staff will waive the 12-month requirement where it is not applicable in the registrant’s other filing jurisdictions and is impracticable or involves undue hardship. As a result, we expect that the vast majority of IPOs will be subject only to the 15-month rule. The only times that we anticipate audited financial statements will be filed under the 12-month rule are when the registrant must comply with the rule in another jurisdiction, or when those audited financial statements are otherwise readily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waiver request, the Company represents to the Commission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283"/>
              <w:jc w:val="both"/>
              <w:rPr/>
            </w:pPr>
            <w:r>
              <w:rPr/>
              <w:t>The Company is not required by any jurisdiction outside the United States to prepare consolidated financial statements audited under any generally accepted auditing standards for any interim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76" w:type="dxa"/>
            <w:tcBorders/>
            <w:vAlign w:val="center"/>
          </w:tcPr>
          <w:p>
            <w:pPr>
              <w:pStyle w:val="TableContents"/>
              <w:bidi w:val="0"/>
              <w:spacing w:before="0" w:after="283"/>
              <w:jc w:val="both"/>
              <w:rPr/>
            </w:pPr>
            <w:r>
              <w:rPr/>
              <w:t>Full compliance with Item 8.A.4 of Form 20-F at present is impracticable and involves undue hardship for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both"/>
              <w:rPr/>
            </w:pPr>
            <w:r>
              <w:rPr/>
              <w:t>The Company does not anticipate that its audited financial statements for the fiscal year ended June 30, 2025 will be available until October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4.</w:t>
            </w:r>
          </w:p>
        </w:tc>
        <w:tc>
          <w:tcPr>
            <w:tcW w:w="9996" w:type="dxa"/>
            <w:tcBorders/>
            <w:vAlign w:val="center"/>
          </w:tcPr>
          <w:p>
            <w:pPr>
              <w:pStyle w:val="TableContents"/>
              <w:bidi w:val="0"/>
              <w:spacing w:before="0" w:after="283"/>
              <w:jc w:val="both"/>
              <w:rPr/>
            </w:pPr>
            <w:r>
              <w:rPr/>
              <w:t>In no event will the Company seek effectiveness of the Registration Statement if its audited financial statements are older than 15 months at the time of the Company’s initial public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file this letter as an exhibit to the Registration Statement pursuant to Instruction 2 to Item 8.A.4 of Form 20-F.</w:t>
      </w:r>
    </w:p>
    <w:p>
      <w:pPr>
        <w:pStyle w:val="TextBody"/>
        <w:bidi w:val="0"/>
        <w:spacing w:before="0" w:after="0"/>
        <w:ind w:left="0" w:right="0" w:firstLine="720"/>
        <w:jc w:val="both"/>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0" w:type="dxa"/>
            <w:tcBorders>
              <w:bottom w:val="single" w:sz="12" w:space="0" w:color="000000"/>
            </w:tcBorders>
            <w:tcMar>
              <w:bottom w:w="28" w:type="dxa"/>
            </w:tcMar>
            <w:vAlign w:val="center"/>
          </w:tcPr>
          <w:p>
            <w:pPr>
              <w:pStyle w:val="TableContents"/>
              <w:bidi w:val="0"/>
              <w:spacing w:before="0" w:after="283"/>
              <w:jc w:val="left"/>
              <w:rPr>
                <w:i/>
              </w:rPr>
            </w:pPr>
            <w:r>
              <w:rPr>
                <w:i/>
              </w:rPr>
              <w:t>/s/ Wong Kok Seng</w:t>
            </w:r>
          </w:p>
        </w:tc>
      </w:tr>
      <w:tr>
        <w:trPr/>
        <w:tc>
          <w:tcPr>
            <w:tcW w:w="7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Wong Kok Seng</w:t>
            </w:r>
          </w:p>
        </w:tc>
      </w:tr>
      <w:tr>
        <w:trPr/>
        <w:tc>
          <w:tcPr>
            <w:tcW w:w="7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Executive Director and Chief Executive Officer </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46954/000121390025085405/ea022242708ex1-1_ultratrex.htm" TargetMode="External"/><Relationship Id="rId3" Type="http://schemas.openxmlformats.org/officeDocument/2006/relationships/hyperlink" Target="http://www.sec.gov/Archives/edgar/data/2046954/000121390025085405/ea022242708ex3-1_ultratrex.htm" TargetMode="External"/><Relationship Id="rId4" Type="http://schemas.openxmlformats.org/officeDocument/2006/relationships/hyperlink" Target="http://www.sec.gov/Archives/edgar/data/2046954/000121390025085405/ea022242708ex4-1_ultratrex.htm" TargetMode="External"/><Relationship Id="rId5" Type="http://schemas.openxmlformats.org/officeDocument/2006/relationships/hyperlink" Target="http://www.sec.gov/Archives/edgar/data/2046954/000121390025085405/ea022242708ex10-1_ultratrex.htm" TargetMode="External"/><Relationship Id="rId6" Type="http://schemas.openxmlformats.org/officeDocument/2006/relationships/hyperlink" Target="http://www.sec.gov/Archives/edgar/data/2046954/000121390025085405/ea022242708ex10-2_ultratrex.htm" TargetMode="External"/><Relationship Id="rId7" Type="http://schemas.openxmlformats.org/officeDocument/2006/relationships/hyperlink" Target="http://www.sec.gov/Archives/edgar/data/2046954/000121390025085405/ea022242708ex10-3_ultratrex.htm" TargetMode="External"/><Relationship Id="rId8" Type="http://schemas.openxmlformats.org/officeDocument/2006/relationships/hyperlink" Target="http://www.sec.gov/Archives/edgar/data/2046954/000121390025085405/ea022242708ex10-4_ultratrex.htm" TargetMode="External"/><Relationship Id="rId9" Type="http://schemas.openxmlformats.org/officeDocument/2006/relationships/hyperlink" Target="http://www.sec.gov/Archives/edgar/data/2046954/000121390025085405/ea022242708ex10-5_ultratrex.htm" TargetMode="External"/><Relationship Id="rId10" Type="http://schemas.openxmlformats.org/officeDocument/2006/relationships/hyperlink" Target="http://www.sec.gov/Archives/edgar/data/2046954/000121390025085405/ea022242708ex10-6_ultratrex.htm" TargetMode="External"/><Relationship Id="rId11" Type="http://schemas.openxmlformats.org/officeDocument/2006/relationships/hyperlink" Target="http://www.sec.gov/Archives/edgar/data/2046954/000121390025085405/ea022242708ex10-7_ultratrex.htm" TargetMode="External"/><Relationship Id="rId12" Type="http://schemas.openxmlformats.org/officeDocument/2006/relationships/hyperlink" Target="http://www.sec.gov/Archives/edgar/data/2046954/000121390025085405/ea022242708ex10-8_ultratrex.htm" TargetMode="External"/><Relationship Id="rId13" Type="http://schemas.openxmlformats.org/officeDocument/2006/relationships/hyperlink" Target="http://www.sec.gov/Archives/edgar/data/2046954/000121390025085405/ea022242708ex10-9_ultratrex.htm" TargetMode="External"/><Relationship Id="rId14" Type="http://schemas.openxmlformats.org/officeDocument/2006/relationships/hyperlink" Target="http://www.sec.gov/Archives/edgar/data/2046954/000121390025085405/ea022242708ex10-10_ultratrex.htm" TargetMode="External"/><Relationship Id="rId15" Type="http://schemas.openxmlformats.org/officeDocument/2006/relationships/hyperlink" Target="http://www.sec.gov/Archives/edgar/data/2046954/000121390025085405/ea022242708ex10-11_ultratex.htm" TargetMode="External"/><Relationship Id="rId16" Type="http://schemas.openxmlformats.org/officeDocument/2006/relationships/hyperlink" Target="http://www.sec.gov/Archives/edgar/data/2046954/000121390025085405/ea022242708ex10-12_ultratrex.htm" TargetMode="External"/><Relationship Id="rId17" Type="http://schemas.openxmlformats.org/officeDocument/2006/relationships/hyperlink" Target="http://www.sec.gov/Archives/edgar/data/2046954/000121390025085405/ea022242708ex10-13_ultratrex.htm" TargetMode="External"/><Relationship Id="rId18" Type="http://schemas.openxmlformats.org/officeDocument/2006/relationships/hyperlink" Target="http://www.sec.gov/Archives/edgar/data/2046954/000121390025085405/ea022242708ex10-14_ultratrex.htm" TargetMode="External"/><Relationship Id="rId19" Type="http://schemas.openxmlformats.org/officeDocument/2006/relationships/hyperlink" Target="http://www.sec.gov/Archives/edgar/data/2046954/000121390025085405/ea022242708ex10-15_ultratex.htm" TargetMode="External"/><Relationship Id="rId20" Type="http://schemas.openxmlformats.org/officeDocument/2006/relationships/hyperlink" Target="http://www.sec.gov/Archives/edgar/data/2046954/000121390025085405/ea022242708ex14-1_ultratrex.htm" TargetMode="External"/><Relationship Id="rId21" Type="http://schemas.openxmlformats.org/officeDocument/2006/relationships/hyperlink" Target="http://www.sec.gov/Archives/edgar/data/2046954/000121390025085405/ea022242708ex14-2_ultratrex.htm" TargetMode="External"/><Relationship Id="rId22" Type="http://schemas.openxmlformats.org/officeDocument/2006/relationships/hyperlink" Target="http://www.sec.gov/Archives/edgar/data/2046954/000121390025085405/ea022242708ex15-1_ultratrex.htm" TargetMode="External"/><Relationship Id="rId23" Type="http://schemas.openxmlformats.org/officeDocument/2006/relationships/hyperlink" Target="http://www.sec.gov/Archives/edgar/data/2046954/000121390025085405/ea022242708ex21-1_ultratrex.htm" TargetMode="External"/><Relationship Id="rId24" Type="http://schemas.openxmlformats.org/officeDocument/2006/relationships/hyperlink" Target="http://www.sec.gov/Archives/edgar/data/2046954/000121390025085405/ea022242708ex23-1_ultratrex.htm" TargetMode="External"/><Relationship Id="rId25" Type="http://schemas.openxmlformats.org/officeDocument/2006/relationships/hyperlink" Target="http://www.sec.gov/Archives/edgar/data/2046954/000121390025085405/ea022242708ex23-6_ultratrex.htm" TargetMode="External"/><Relationship Id="rId26" Type="http://schemas.openxmlformats.org/officeDocument/2006/relationships/hyperlink" Target="http://www.sec.gov/Archives/edgar/data/2046954/000121390025085405/ea022242708ex99-1_ultratrex.htm" TargetMode="External"/><Relationship Id="rId27" Type="http://schemas.openxmlformats.org/officeDocument/2006/relationships/hyperlink" Target="http://www.sec.gov/Archives/edgar/data/2046954/000121390025085405/ea022242708ex99-2_ultratrex.htm" TargetMode="External"/><Relationship Id="rId28" Type="http://schemas.openxmlformats.org/officeDocument/2006/relationships/hyperlink" Target="http://www.sec.gov/Archives/edgar/data/2046954/000121390025085405/ea022242708ex99-3_ultratrex.htm" TargetMode="External"/><Relationship Id="rId29" Type="http://schemas.openxmlformats.org/officeDocument/2006/relationships/hyperlink" Target="http://www.sec.gov/Archives/edgar/data/2046954/000121390025085405/ea022242708ex99-4_ultratrex.htm" TargetMode="External"/><Relationship Id="rId30" Type="http://schemas.openxmlformats.org/officeDocument/2006/relationships/hyperlink" Target="http://www.sec.gov/Archives/edgar/data/2046954/000121390025085405/ea022242708ex99-5_ultratrex.htm" TargetMode="External"/><Relationship Id="rId31" Type="http://schemas.openxmlformats.org/officeDocument/2006/relationships/hyperlink" Target="http://www.sec.gov/Archives/edgar/data/2046954/000121390025085405/ea022242708ex99-6_ultratrex.htm" TargetMode="External"/><Relationship Id="rId32" Type="http://schemas.openxmlformats.org/officeDocument/2006/relationships/hyperlink" Target="http://www.sec.gov/Archives/edgar/data/2046954/000121390025085405/ea022242708ex99-7_ultratrex.htm" TargetMode="External"/><Relationship Id="rId33" Type="http://schemas.openxmlformats.org/officeDocument/2006/relationships/hyperlink" Target="http://www.sec.gov/Archives/edgar/data/2046954/000121390025085405/ea022242708ex99-8_ultratrex.htm" TargetMode="External"/><Relationship Id="rId34" Type="http://schemas.openxmlformats.org/officeDocument/2006/relationships/hyperlink" Target="http://www.sec.gov/Archives/edgar/data/2046954/000121390025085405/ea022242708ex99-9_ultratrex.htm" TargetMode="External"/><Relationship Id="rId35" Type="http://schemas.openxmlformats.org/officeDocument/2006/relationships/hyperlink" Target="http://www.sec.gov/Archives/edgar/data/2046954/000121390025085405/ea022242708ex99-10_ultratrex.htm" TargetMode="External"/><Relationship Id="rId36" Type="http://schemas.openxmlformats.org/officeDocument/2006/relationships/hyperlink" Target="http://www.sec.gov/Archives/edgar/data/2046954/000121390025085405/ea022242708ex99-11_ultratrex.htm" TargetMode="External"/><Relationship Id="rId37" Type="http://schemas.openxmlformats.org/officeDocument/2006/relationships/hyperlink" Target="http://www.sec.gov/Archives/edgar/data/2046954/000121390025085405/ea022242708ex-fee_ultratrex.htm" TargetMode="External"/><Relationship Id="rId38" Type="http://schemas.openxmlformats.org/officeDocument/2006/relationships/image" Target="media/image1.jpeg"/><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5.jpeg"/><Relationship Id="rId43" Type="http://schemas.openxmlformats.org/officeDocument/2006/relationships/image" Target="media/image6.jpeg"/><Relationship Id="rId44" Type="http://schemas.openxmlformats.org/officeDocument/2006/relationships/image" Target="media/image7.jpeg"/><Relationship Id="rId45" Type="http://schemas.openxmlformats.org/officeDocument/2006/relationships/image" Target="media/image6.jpeg"/><Relationship Id="rId46" Type="http://schemas.openxmlformats.org/officeDocument/2006/relationships/image" Target="media/image6.jpeg"/><Relationship Id="rId47" Type="http://schemas.openxmlformats.org/officeDocument/2006/relationships/image" Target="media/image6.jpeg"/><Relationship Id="rId48" Type="http://schemas.openxmlformats.org/officeDocument/2006/relationships/image" Target="media/image8.jpeg"/><Relationship Id="rId49" Type="http://schemas.openxmlformats.org/officeDocument/2006/relationships/image" Target="media/image9.jpeg"/><Relationship Id="rId50" Type="http://schemas.openxmlformats.org/officeDocument/2006/relationships/image" Target="media/image9.jpeg"/><Relationship Id="rId51" Type="http://schemas.openxmlformats.org/officeDocument/2006/relationships/image" Target="media/image9.jpeg"/><Relationship Id="rId52" Type="http://schemas.openxmlformats.org/officeDocument/2006/relationships/image" Target="media/image10.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9130</Words>
  <Characters>48721</Characters>
  <CharactersWithSpaces>57722</CharactersWithSpaces>
  <Paragraphs>1034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